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horzAnchor="margin" w:tblpXSpec="right" w:tblpY="-98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10"/>
      </w:tblGrid>
      <w:tr w:rsidR="009D6F99" w:rsidTr="009D6F99">
        <w:trPr>
          <w:trHeight w:val="433"/>
        </w:trPr>
        <w:tc>
          <w:tcPr>
            <w:tcW w:w="4855" w:type="dxa"/>
            <w:vMerge w:val="restart"/>
            <w:vAlign w:val="center"/>
          </w:tcPr>
          <w:p w:rsidR="009D6F99" w:rsidRDefault="009D6F99" w:rsidP="009D6F99">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331F1FA9" wp14:editId="4C0E6BD0">
                  <wp:extent cx="2568272" cy="508883"/>
                  <wp:effectExtent l="0" t="0" r="381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009" cy="513190"/>
                          </a:xfrm>
                          <a:prstGeom prst="rect">
                            <a:avLst/>
                          </a:prstGeom>
                          <a:noFill/>
                        </pic:spPr>
                      </pic:pic>
                    </a:graphicData>
                  </a:graphic>
                </wp:inline>
              </w:drawing>
            </w:r>
          </w:p>
        </w:tc>
        <w:tc>
          <w:tcPr>
            <w:tcW w:w="5210" w:type="dxa"/>
            <w:tcBorders>
              <w:bottom w:val="dashSmallGap" w:sz="4" w:space="0" w:color="auto"/>
            </w:tcBorders>
          </w:tcPr>
          <w:p w:rsidR="009D6F99" w:rsidRDefault="009D6F99" w:rsidP="009D6F99">
            <w:pPr>
              <w:rPr>
                <w:rFonts w:ascii="Times New Roman" w:hAnsi="Times New Roman" w:cs="Times New Roman"/>
                <w:b/>
                <w:sz w:val="24"/>
                <w:szCs w:val="24"/>
              </w:rPr>
            </w:pPr>
          </w:p>
        </w:tc>
      </w:tr>
      <w:tr w:rsidR="009D6F99" w:rsidRPr="003077E5" w:rsidTr="009D6F99">
        <w:trPr>
          <w:trHeight w:val="543"/>
        </w:trPr>
        <w:tc>
          <w:tcPr>
            <w:tcW w:w="4855" w:type="dxa"/>
            <w:vMerge/>
          </w:tcPr>
          <w:p w:rsidR="009D6F99" w:rsidRDefault="009D6F99" w:rsidP="009D6F99">
            <w:pPr>
              <w:rPr>
                <w:rFonts w:ascii="Times New Roman" w:hAnsi="Times New Roman" w:cs="Times New Roman"/>
                <w:b/>
                <w:sz w:val="24"/>
                <w:szCs w:val="24"/>
              </w:rPr>
            </w:pPr>
          </w:p>
        </w:tc>
        <w:tc>
          <w:tcPr>
            <w:tcW w:w="5210" w:type="dxa"/>
            <w:tcBorders>
              <w:top w:val="dashSmallGap" w:sz="4" w:space="0" w:color="auto"/>
            </w:tcBorders>
          </w:tcPr>
          <w:p w:rsidR="009D6F99" w:rsidRPr="003077E5" w:rsidRDefault="009D6F99" w:rsidP="009D6F99">
            <w:pPr>
              <w:jc w:val="center"/>
              <w:rPr>
                <w:rFonts w:ascii="Times New Roman" w:hAnsi="Times New Roman" w:cs="Times New Roman"/>
                <w:i/>
                <w:sz w:val="16"/>
                <w:szCs w:val="16"/>
              </w:rPr>
            </w:pPr>
            <w:r>
              <w:rPr>
                <w:rFonts w:ascii="Times New Roman" w:hAnsi="Times New Roman" w:cs="Times New Roman"/>
                <w:i/>
                <w:sz w:val="16"/>
                <w:szCs w:val="16"/>
              </w:rPr>
              <w:t>M</w:t>
            </w:r>
            <w:r w:rsidRPr="003077E5">
              <w:rPr>
                <w:rFonts w:ascii="Times New Roman" w:hAnsi="Times New Roman" w:cs="Times New Roman"/>
                <w:i/>
                <w:sz w:val="16"/>
                <w:szCs w:val="16"/>
              </w:rPr>
              <w:t>iejscowość i data</w:t>
            </w:r>
          </w:p>
        </w:tc>
      </w:tr>
    </w:tbl>
    <w:p w:rsidR="00DC43AF" w:rsidRPr="00DC43AF" w:rsidRDefault="00DC43AF" w:rsidP="00F5183B">
      <w:pPr>
        <w:spacing w:after="0"/>
        <w:rPr>
          <w:rFonts w:ascii="Times New Roman" w:hAnsi="Times New Roman" w:cs="Times New Roman"/>
          <w:b/>
          <w:sz w:val="16"/>
          <w:szCs w:val="16"/>
        </w:rPr>
      </w:pPr>
    </w:p>
    <w:p w:rsidR="00802DF8" w:rsidRDefault="007D76DA" w:rsidP="00F5183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WNIOSEK O BADANIE </w:t>
      </w:r>
      <w:r w:rsidR="00022ABD">
        <w:rPr>
          <w:rFonts w:ascii="Times New Roman" w:hAnsi="Times New Roman" w:cs="Times New Roman"/>
          <w:b/>
          <w:sz w:val="24"/>
          <w:szCs w:val="24"/>
        </w:rPr>
        <w:t>RÓWNOWAGI EKONOMICZNEJ</w:t>
      </w:r>
    </w:p>
    <w:p w:rsidR="00F5183B" w:rsidRPr="00184FF1" w:rsidRDefault="00F5183B" w:rsidP="00F5183B">
      <w:pPr>
        <w:spacing w:after="0"/>
        <w:jc w:val="center"/>
        <w:rPr>
          <w:rFonts w:ascii="Times New Roman" w:hAnsi="Times New Roman" w:cs="Times New Roman"/>
          <w:b/>
        </w:rPr>
      </w:pPr>
      <w:r w:rsidRPr="00184FF1">
        <w:rPr>
          <w:rFonts w:ascii="Times New Roman" w:hAnsi="Times New Roman" w:cs="Times New Roman"/>
          <w:b/>
        </w:rPr>
        <w:t>(</w:t>
      </w:r>
      <w:r w:rsidR="00951AF6" w:rsidRPr="00184FF1">
        <w:rPr>
          <w:rFonts w:ascii="Times New Roman" w:hAnsi="Times New Roman" w:cs="Times New Roman"/>
          <w:b/>
        </w:rPr>
        <w:t xml:space="preserve">usług publicznego transportu zbiorowego w związku z planowanym uruchomieniem </w:t>
      </w:r>
      <w:r w:rsidR="009D1986" w:rsidRPr="00184FF1">
        <w:rPr>
          <w:rFonts w:ascii="Times New Roman" w:hAnsi="Times New Roman" w:cs="Times New Roman"/>
          <w:b/>
        </w:rPr>
        <w:t xml:space="preserve">kolejowego </w:t>
      </w:r>
      <w:r w:rsidR="002C7A1D" w:rsidRPr="00184FF1">
        <w:rPr>
          <w:rFonts w:ascii="Times New Roman" w:hAnsi="Times New Roman" w:cs="Times New Roman"/>
          <w:b/>
        </w:rPr>
        <w:t>przewozu pasażerskiego)</w:t>
      </w:r>
    </w:p>
    <w:p w:rsidR="003E035D" w:rsidRPr="003E035D" w:rsidRDefault="003E035D" w:rsidP="00F5183B">
      <w:pPr>
        <w:spacing w:after="0"/>
        <w:jc w:val="center"/>
        <w:rPr>
          <w:rFonts w:ascii="Times New Roman" w:hAnsi="Times New Roman" w:cs="Times New Roman"/>
          <w:b/>
          <w:sz w:val="10"/>
          <w:szCs w:val="10"/>
        </w:rPr>
      </w:pPr>
    </w:p>
    <w:p w:rsidR="00F5183B" w:rsidRPr="002868AB" w:rsidRDefault="003E035D" w:rsidP="003E035D">
      <w:pPr>
        <w:jc w:val="center"/>
        <w:rPr>
          <w:rFonts w:ascii="Times New Roman" w:hAnsi="Times New Roman" w:cs="Times New Roman"/>
          <w:b/>
          <w:sz w:val="20"/>
          <w:szCs w:val="20"/>
        </w:rPr>
      </w:pPr>
      <w:r w:rsidRPr="004A48E9">
        <w:rPr>
          <w:rFonts w:ascii="Times New Roman" w:hAnsi="Times New Roman" w:cs="Times New Roman"/>
          <w:b/>
          <w:color w:val="FF0000"/>
          <w:sz w:val="20"/>
          <w:szCs w:val="20"/>
        </w:rPr>
        <w:t>ZGODNIE Z WYMOGAMI ROZPORZĄDZENIA WYKONAWCZEGO KOMISJI (UE) 2018/1795</w:t>
      </w:r>
      <w:r w:rsidRPr="002868AB">
        <w:rPr>
          <w:rStyle w:val="Odwoanieprzypisudolnego"/>
          <w:rFonts w:ascii="Times New Roman" w:hAnsi="Times New Roman" w:cs="Times New Roman"/>
          <w:b/>
          <w:sz w:val="20"/>
          <w:szCs w:val="20"/>
        </w:rPr>
        <w:footnoteReference w:id="1"/>
      </w:r>
    </w:p>
    <w:tbl>
      <w:tblPr>
        <w:tblStyle w:val="Tabela-Siatka"/>
        <w:tblW w:w="9098" w:type="dxa"/>
        <w:tblInd w:w="108" w:type="dxa"/>
        <w:tblLayout w:type="fixed"/>
        <w:tblLook w:val="04A0" w:firstRow="1" w:lastRow="0" w:firstColumn="1" w:lastColumn="0" w:noHBand="0" w:noVBand="1"/>
      </w:tblPr>
      <w:tblGrid>
        <w:gridCol w:w="2977"/>
        <w:gridCol w:w="3008"/>
        <w:gridCol w:w="3087"/>
        <w:gridCol w:w="26"/>
      </w:tblGrid>
      <w:tr w:rsidR="00115D60" w:rsidRPr="00E34757" w:rsidTr="00236856">
        <w:trPr>
          <w:trHeight w:val="574"/>
        </w:trPr>
        <w:tc>
          <w:tcPr>
            <w:tcW w:w="297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115D60" w:rsidRPr="00E34757" w:rsidRDefault="00115D60" w:rsidP="003E035D">
            <w:pPr>
              <w:jc w:val="center"/>
              <w:rPr>
                <w:rFonts w:ascii="Times New Roman" w:hAnsi="Times New Roman" w:cs="Times New Roman"/>
                <w:b/>
              </w:rPr>
            </w:pPr>
            <w:r w:rsidRPr="00E34757">
              <w:rPr>
                <w:rFonts w:ascii="Times New Roman" w:hAnsi="Times New Roman" w:cs="Times New Roman"/>
                <w:b/>
              </w:rPr>
              <w:t xml:space="preserve">Nazwa </w:t>
            </w:r>
            <w:r w:rsidR="003F1E80" w:rsidRPr="00E34757">
              <w:rPr>
                <w:rFonts w:ascii="Times New Roman" w:hAnsi="Times New Roman" w:cs="Times New Roman"/>
                <w:b/>
              </w:rPr>
              <w:t>podmiotu wnioskującego</w:t>
            </w:r>
            <w:r w:rsidRPr="00E34757">
              <w:rPr>
                <w:rFonts w:ascii="Times New Roman" w:hAnsi="Times New Roman" w:cs="Times New Roman"/>
                <w:b/>
              </w:rPr>
              <w:t>:</w:t>
            </w:r>
          </w:p>
        </w:tc>
        <w:tc>
          <w:tcPr>
            <w:tcW w:w="300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115D60" w:rsidRPr="00E34757" w:rsidRDefault="00D16446" w:rsidP="003E035D">
            <w:pPr>
              <w:jc w:val="center"/>
              <w:rPr>
                <w:rFonts w:ascii="Times New Roman" w:hAnsi="Times New Roman" w:cs="Times New Roman"/>
                <w:b/>
              </w:rPr>
            </w:pPr>
            <w:r w:rsidRPr="00E34757">
              <w:rPr>
                <w:rFonts w:ascii="Times New Roman" w:hAnsi="Times New Roman" w:cs="Times New Roman"/>
                <w:b/>
              </w:rPr>
              <w:t xml:space="preserve">Adres </w:t>
            </w:r>
            <w:r w:rsidR="00AF4756" w:rsidRPr="00E34757">
              <w:rPr>
                <w:rFonts w:ascii="Times New Roman" w:hAnsi="Times New Roman" w:cs="Times New Roman"/>
                <w:b/>
              </w:rPr>
              <w:t>podmiotu wnioskującego</w:t>
            </w:r>
            <w:r w:rsidR="00115D60" w:rsidRPr="00E34757">
              <w:rPr>
                <w:rFonts w:ascii="Times New Roman" w:hAnsi="Times New Roman" w:cs="Times New Roman"/>
                <w:b/>
              </w:rPr>
              <w:t>:</w:t>
            </w:r>
          </w:p>
        </w:tc>
        <w:tc>
          <w:tcPr>
            <w:tcW w:w="311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115D60" w:rsidRPr="00E34757" w:rsidRDefault="00020101" w:rsidP="00485D31">
            <w:pPr>
              <w:jc w:val="center"/>
              <w:rPr>
                <w:rFonts w:ascii="Times New Roman" w:hAnsi="Times New Roman" w:cs="Times New Roman"/>
                <w:b/>
              </w:rPr>
            </w:pPr>
            <w:r w:rsidRPr="00E34757">
              <w:rPr>
                <w:rFonts w:ascii="Times New Roman" w:hAnsi="Times New Roman" w:cs="Times New Roman"/>
                <w:b/>
              </w:rPr>
              <w:t xml:space="preserve">  </w:t>
            </w:r>
            <w:r w:rsidR="008004C0" w:rsidRPr="00E34757">
              <w:rPr>
                <w:rFonts w:ascii="Times New Roman" w:hAnsi="Times New Roman" w:cs="Times New Roman"/>
                <w:b/>
              </w:rPr>
              <w:t xml:space="preserve">Numer z rejestru przedsiębiorców wnioskodawcy – </w:t>
            </w:r>
            <w:r w:rsidRPr="00E34757">
              <w:rPr>
                <w:rFonts w:ascii="Times New Roman" w:hAnsi="Times New Roman" w:cs="Times New Roman"/>
                <w:b/>
              </w:rPr>
              <w:br/>
            </w:r>
            <w:r w:rsidR="008004C0" w:rsidRPr="00E34757">
              <w:rPr>
                <w:rFonts w:ascii="Times New Roman" w:hAnsi="Times New Roman" w:cs="Times New Roman"/>
                <w:b/>
              </w:rPr>
              <w:t>o ile dotyczy (KRS):</w:t>
            </w:r>
          </w:p>
        </w:tc>
      </w:tr>
      <w:tr w:rsidR="00E91C0B" w:rsidRPr="00E34757" w:rsidTr="00236856">
        <w:trPr>
          <w:trHeight w:val="630"/>
        </w:trPr>
        <w:tc>
          <w:tcPr>
            <w:tcW w:w="2977" w:type="dxa"/>
            <w:tcBorders>
              <w:top w:val="single" w:sz="6" w:space="0" w:color="auto"/>
              <w:left w:val="single" w:sz="12" w:space="0" w:color="auto"/>
              <w:bottom w:val="single" w:sz="12" w:space="0" w:color="auto"/>
              <w:right w:val="single" w:sz="6" w:space="0" w:color="auto"/>
            </w:tcBorders>
          </w:tcPr>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tc>
        <w:tc>
          <w:tcPr>
            <w:tcW w:w="3008" w:type="dxa"/>
            <w:tcBorders>
              <w:top w:val="single" w:sz="6" w:space="0" w:color="auto"/>
              <w:left w:val="single" w:sz="6" w:space="0" w:color="auto"/>
              <w:bottom w:val="single" w:sz="12" w:space="0" w:color="auto"/>
              <w:right w:val="single" w:sz="6" w:space="0" w:color="auto"/>
            </w:tcBorders>
          </w:tcPr>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tc>
        <w:tc>
          <w:tcPr>
            <w:tcW w:w="3113" w:type="dxa"/>
            <w:gridSpan w:val="2"/>
            <w:tcBorders>
              <w:top w:val="single" w:sz="6" w:space="0" w:color="auto"/>
              <w:left w:val="single" w:sz="6" w:space="0" w:color="auto"/>
              <w:bottom w:val="single" w:sz="12" w:space="0" w:color="auto"/>
              <w:right w:val="single" w:sz="12" w:space="0" w:color="auto"/>
            </w:tcBorders>
          </w:tcPr>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p w:rsidR="00E91C0B" w:rsidRPr="00E34757" w:rsidRDefault="00E91C0B" w:rsidP="00F775F4">
            <w:pPr>
              <w:rPr>
                <w:rFonts w:ascii="Times New Roman" w:hAnsi="Times New Roman" w:cs="Times New Roman"/>
              </w:rPr>
            </w:pPr>
          </w:p>
        </w:tc>
      </w:tr>
      <w:tr w:rsidR="00115D60" w:rsidRPr="00E34757" w:rsidTr="00236856">
        <w:trPr>
          <w:gridAfter w:val="1"/>
          <w:wAfter w:w="26" w:type="dxa"/>
          <w:trHeight w:val="344"/>
        </w:trPr>
        <w:tc>
          <w:tcPr>
            <w:tcW w:w="9072" w:type="dxa"/>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115D60" w:rsidRPr="00E34757" w:rsidRDefault="00115D60" w:rsidP="00CF67FD">
            <w:pPr>
              <w:rPr>
                <w:rFonts w:ascii="Times New Roman" w:hAnsi="Times New Roman" w:cs="Times New Roman"/>
                <w:b/>
              </w:rPr>
            </w:pPr>
            <w:r w:rsidRPr="00E34757">
              <w:rPr>
                <w:rFonts w:ascii="Times New Roman" w:hAnsi="Times New Roman" w:cs="Times New Roman"/>
                <w:b/>
              </w:rPr>
              <w:t>Dane kontaktowe osoby odpowiedzialnej za zapytania (w tym adres e-mail</w:t>
            </w:r>
            <w:r w:rsidR="003F1E80" w:rsidRPr="00E34757">
              <w:rPr>
                <w:rFonts w:ascii="Times New Roman" w:hAnsi="Times New Roman" w:cs="Times New Roman"/>
                <w:b/>
              </w:rPr>
              <w:t>, numer telefonu kontaktowego</w:t>
            </w:r>
            <w:r w:rsidR="00E757FE" w:rsidRPr="00E34757">
              <w:rPr>
                <w:rStyle w:val="Odwoanieprzypisudolnego"/>
                <w:rFonts w:ascii="Times New Roman" w:hAnsi="Times New Roman" w:cs="Times New Roman"/>
                <w:b/>
              </w:rPr>
              <w:footnoteReference w:id="2"/>
            </w:r>
            <w:r w:rsidRPr="00E34757">
              <w:rPr>
                <w:rFonts w:ascii="Times New Roman" w:hAnsi="Times New Roman" w:cs="Times New Roman"/>
                <w:b/>
              </w:rPr>
              <w:t>):</w:t>
            </w:r>
          </w:p>
        </w:tc>
      </w:tr>
      <w:tr w:rsidR="00780CDB" w:rsidRPr="00E34757" w:rsidTr="00236856">
        <w:trPr>
          <w:gridAfter w:val="1"/>
          <w:wAfter w:w="26" w:type="dxa"/>
          <w:trHeight w:val="396"/>
        </w:trPr>
        <w:tc>
          <w:tcPr>
            <w:tcW w:w="9072" w:type="dxa"/>
            <w:gridSpan w:val="3"/>
            <w:tcBorders>
              <w:top w:val="single" w:sz="4" w:space="0" w:color="auto"/>
              <w:left w:val="single" w:sz="12" w:space="0" w:color="auto"/>
              <w:bottom w:val="single" w:sz="4" w:space="0" w:color="auto"/>
              <w:right w:val="single" w:sz="12" w:space="0" w:color="auto"/>
            </w:tcBorders>
            <w:shd w:val="clear" w:color="auto" w:fill="auto"/>
          </w:tcPr>
          <w:p w:rsidR="00496F40" w:rsidRPr="00E34757" w:rsidRDefault="00496F40" w:rsidP="00496F40">
            <w:pPr>
              <w:spacing w:line="276" w:lineRule="auto"/>
              <w:rPr>
                <w:rFonts w:ascii="Times New Roman" w:hAnsi="Times New Roman" w:cs="Times New Roman"/>
                <w:b/>
              </w:rPr>
            </w:pPr>
          </w:p>
          <w:p w:rsidR="00496F40" w:rsidRPr="00E34757" w:rsidRDefault="00496F40" w:rsidP="00496F40">
            <w:pPr>
              <w:spacing w:line="276" w:lineRule="auto"/>
              <w:rPr>
                <w:rFonts w:ascii="Times New Roman" w:hAnsi="Times New Roman" w:cs="Times New Roman"/>
                <w:b/>
              </w:rPr>
            </w:pPr>
          </w:p>
          <w:p w:rsidR="00DC43AF" w:rsidRPr="00E34757" w:rsidRDefault="00DC43AF" w:rsidP="00F775F4">
            <w:pPr>
              <w:rPr>
                <w:rFonts w:ascii="Times New Roman" w:hAnsi="Times New Roman" w:cs="Times New Roman"/>
                <w:b/>
              </w:rPr>
            </w:pPr>
          </w:p>
        </w:tc>
      </w:tr>
      <w:tr w:rsidR="00B4622E" w:rsidRPr="00E34757" w:rsidTr="00236856">
        <w:trPr>
          <w:gridAfter w:val="1"/>
          <w:wAfter w:w="26" w:type="dxa"/>
          <w:trHeight w:val="494"/>
        </w:trPr>
        <w:tc>
          <w:tcPr>
            <w:tcW w:w="907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B4622E" w:rsidRPr="00E34757" w:rsidRDefault="00827333" w:rsidP="00236856">
            <w:pPr>
              <w:jc w:val="both"/>
              <w:rPr>
                <w:rFonts w:ascii="Times New Roman" w:hAnsi="Times New Roman" w:cs="Times New Roman"/>
                <w:b/>
              </w:rPr>
            </w:pPr>
            <w:r w:rsidRPr="00E34757">
              <w:rPr>
                <w:rFonts w:ascii="Times New Roman" w:hAnsi="Times New Roman" w:cs="Times New Roman"/>
                <w:b/>
              </w:rPr>
              <w:t>Uzasadnienie,</w:t>
            </w:r>
            <w:r w:rsidR="00D16446" w:rsidRPr="00E34757">
              <w:rPr>
                <w:rFonts w:ascii="Times New Roman" w:hAnsi="Times New Roman" w:cs="Times New Roman"/>
                <w:b/>
              </w:rPr>
              <w:t xml:space="preserve"> </w:t>
            </w:r>
            <w:r w:rsidR="00060E64" w:rsidRPr="00E34757">
              <w:rPr>
                <w:rFonts w:ascii="Times New Roman" w:hAnsi="Times New Roman" w:cs="Times New Roman"/>
                <w:b/>
              </w:rPr>
              <w:t>że nowe przewozy zagrażają równowadze ekonomicznej umowy/umów</w:t>
            </w:r>
            <w:r w:rsidR="00AE4562" w:rsidRPr="00E34757">
              <w:rPr>
                <w:rFonts w:ascii="Times New Roman" w:hAnsi="Times New Roman" w:cs="Times New Roman"/>
                <w:b/>
              </w:rPr>
              <w:br/>
            </w:r>
            <w:r w:rsidR="00060E64" w:rsidRPr="00E34757">
              <w:rPr>
                <w:rFonts w:ascii="Times New Roman" w:hAnsi="Times New Roman" w:cs="Times New Roman"/>
                <w:b/>
              </w:rPr>
              <w:t>o świadczenie usług publicznych</w:t>
            </w:r>
            <w:r w:rsidR="00CC7D65" w:rsidRPr="00E34757">
              <w:rPr>
                <w:rStyle w:val="Odwoanieprzypisudolnego"/>
                <w:rFonts w:ascii="Times New Roman" w:hAnsi="Times New Roman" w:cs="Times New Roman"/>
                <w:b/>
              </w:rPr>
              <w:footnoteReference w:id="3"/>
            </w:r>
            <w:r w:rsidR="00236856" w:rsidRPr="00E34757">
              <w:rPr>
                <w:rFonts w:ascii="Times New Roman" w:hAnsi="Times New Roman" w:cs="Times New Roman"/>
                <w:b/>
              </w:rPr>
              <w:t>:</w:t>
            </w:r>
          </w:p>
        </w:tc>
      </w:tr>
      <w:tr w:rsidR="00B4622E" w:rsidRPr="00E34757" w:rsidTr="00485D31">
        <w:trPr>
          <w:gridAfter w:val="1"/>
          <w:wAfter w:w="26" w:type="dxa"/>
          <w:trHeight w:val="4038"/>
        </w:trPr>
        <w:tc>
          <w:tcPr>
            <w:tcW w:w="9072" w:type="dxa"/>
            <w:gridSpan w:val="3"/>
            <w:tcBorders>
              <w:top w:val="single" w:sz="4" w:space="0" w:color="auto"/>
              <w:left w:val="single" w:sz="12" w:space="0" w:color="auto"/>
              <w:bottom w:val="single" w:sz="12" w:space="0" w:color="auto"/>
              <w:right w:val="single" w:sz="12" w:space="0" w:color="auto"/>
            </w:tcBorders>
          </w:tcPr>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DC43AF" w:rsidRPr="00E34757" w:rsidRDefault="00DC43AF" w:rsidP="00DC43AF">
            <w:pPr>
              <w:rPr>
                <w:rFonts w:ascii="Times New Roman" w:hAnsi="Times New Roman" w:cs="Times New Roman"/>
              </w:rPr>
            </w:pPr>
          </w:p>
          <w:p w:rsidR="00B4622E" w:rsidRPr="00E34757" w:rsidRDefault="00B4622E"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p w:rsidR="00485D31" w:rsidRPr="00E34757" w:rsidRDefault="00485D31" w:rsidP="00F775F4">
            <w:pPr>
              <w:rPr>
                <w:rFonts w:ascii="Times New Roman" w:hAnsi="Times New Roman" w:cs="Times New Roman"/>
              </w:rPr>
            </w:pPr>
          </w:p>
        </w:tc>
      </w:tr>
      <w:tr w:rsidR="00236856" w:rsidRPr="00E34757" w:rsidTr="00236856">
        <w:trPr>
          <w:gridAfter w:val="1"/>
          <w:wAfter w:w="26" w:type="dxa"/>
          <w:trHeight w:val="494"/>
        </w:trPr>
        <w:tc>
          <w:tcPr>
            <w:tcW w:w="907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6856" w:rsidRPr="00E34757" w:rsidRDefault="00236856" w:rsidP="00236856">
            <w:pPr>
              <w:jc w:val="both"/>
              <w:rPr>
                <w:rFonts w:ascii="Times New Roman" w:hAnsi="Times New Roman" w:cs="Times New Roman"/>
                <w:b/>
              </w:rPr>
            </w:pPr>
            <w:r w:rsidRPr="00E34757">
              <w:rPr>
                <w:rFonts w:ascii="Times New Roman" w:hAnsi="Times New Roman" w:cs="Times New Roman"/>
                <w:b/>
              </w:rPr>
              <w:lastRenderedPageBreak/>
              <w:t>Jako element uzasadnienia podmiot wnioskujący o przeprowadzenie badania równowagi ekonomicznej może przedstawić m.in.</w:t>
            </w:r>
            <w:r w:rsidR="00FF0568" w:rsidRPr="00E34757">
              <w:rPr>
                <w:rStyle w:val="Odwoanieprzypisudolnego"/>
                <w:rFonts w:ascii="Times New Roman" w:hAnsi="Times New Roman" w:cs="Times New Roman"/>
                <w:b/>
              </w:rPr>
              <w:footnoteReference w:id="4"/>
            </w:r>
            <w:r w:rsidRPr="00E34757">
              <w:rPr>
                <w:rFonts w:ascii="Times New Roman" w:hAnsi="Times New Roman" w:cs="Times New Roman"/>
                <w:b/>
              </w:rPr>
              <w:t>:</w:t>
            </w:r>
          </w:p>
        </w:tc>
      </w:tr>
      <w:tr w:rsidR="00236856"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6856" w:rsidRPr="00E34757" w:rsidRDefault="00236856" w:rsidP="0038790E">
            <w:pPr>
              <w:ind w:right="34"/>
              <w:rPr>
                <w:rFonts w:ascii="Times New Roman" w:hAnsi="Times New Roman" w:cs="Times New Roman"/>
                <w:b/>
              </w:rPr>
            </w:pPr>
            <w:r w:rsidRPr="00E34757">
              <w:rPr>
                <w:rFonts w:ascii="Times New Roman" w:hAnsi="Times New Roman" w:cs="Times New Roman"/>
                <w:b/>
              </w:rPr>
              <w:t>Prognozy dotyczące ruchu, popytu i przychodów</w:t>
            </w:r>
            <w:r w:rsidRPr="00E34757">
              <w:rPr>
                <w:rStyle w:val="Odwoanieprzypisudolnego"/>
                <w:rFonts w:ascii="Times New Roman" w:hAnsi="Times New Roman" w:cs="Times New Roman"/>
                <w:b/>
              </w:rPr>
              <w:footnoteReference w:id="5"/>
            </w:r>
            <w:r w:rsidRPr="00E34757">
              <w:rPr>
                <w:rFonts w:ascii="Times New Roman" w:hAnsi="Times New Roman" w:cs="Times New Roman"/>
                <w:b/>
              </w:rPr>
              <w:t>:</w:t>
            </w: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tc>
      </w:tr>
      <w:tr w:rsidR="00236856" w:rsidRPr="00E34757" w:rsidTr="0038790E">
        <w:trPr>
          <w:gridAfter w:val="1"/>
          <w:wAfter w:w="26" w:type="dxa"/>
          <w:trHeight w:val="50"/>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6856" w:rsidRPr="00E34757" w:rsidRDefault="00236856" w:rsidP="00F60256">
            <w:pPr>
              <w:rPr>
                <w:rFonts w:ascii="Times New Roman" w:hAnsi="Times New Roman" w:cs="Times New Roman"/>
                <w:b/>
              </w:rPr>
            </w:pPr>
            <w:r w:rsidRPr="00E34757">
              <w:rPr>
                <w:rFonts w:ascii="Times New Roman" w:hAnsi="Times New Roman" w:cs="Times New Roman"/>
                <w:b/>
              </w:rPr>
              <w:t xml:space="preserve">Informacje dotyczące metodyki </w:t>
            </w:r>
            <w:r w:rsidR="00FF0568" w:rsidRPr="00E34757">
              <w:rPr>
                <w:rFonts w:ascii="Times New Roman" w:hAnsi="Times New Roman" w:cs="Times New Roman"/>
                <w:b/>
              </w:rPr>
              <w:t>opracowanych prognoz</w:t>
            </w:r>
            <w:r w:rsidRPr="00E34757">
              <w:rPr>
                <w:rStyle w:val="Odwoanieprzypisudolnego"/>
                <w:rFonts w:ascii="Times New Roman" w:hAnsi="Times New Roman" w:cs="Times New Roman"/>
                <w:b/>
              </w:rPr>
              <w:footnoteReference w:id="6"/>
            </w:r>
            <w:r w:rsidRPr="00E34757">
              <w:rPr>
                <w:rFonts w:ascii="Times New Roman" w:hAnsi="Times New Roman" w:cs="Times New Roman"/>
                <w:b/>
              </w:rPr>
              <w:t>:</w:t>
            </w: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36856" w:rsidRPr="00E34757" w:rsidRDefault="00236856"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p w:rsidR="00FF0568" w:rsidRPr="00E34757" w:rsidRDefault="00FF0568" w:rsidP="00E33844">
            <w:pPr>
              <w:jc w:val="both"/>
              <w:rPr>
                <w:rFonts w:ascii="Times New Roman" w:hAnsi="Times New Roman" w:cs="Times New Roman"/>
                <w:b/>
              </w:rPr>
            </w:pPr>
          </w:p>
        </w:tc>
      </w:tr>
      <w:tr w:rsidR="0038790E"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8790E" w:rsidRPr="00E34757" w:rsidRDefault="0038790E" w:rsidP="0038790E">
            <w:pPr>
              <w:rPr>
                <w:rFonts w:ascii="Times New Roman" w:hAnsi="Times New Roman" w:cs="Times New Roman"/>
                <w:b/>
              </w:rPr>
            </w:pPr>
            <w:r w:rsidRPr="00E34757">
              <w:rPr>
                <w:rFonts w:ascii="Times New Roman" w:hAnsi="Times New Roman" w:cs="Times New Roman"/>
                <w:b/>
              </w:rPr>
              <w:t>I</w:t>
            </w:r>
            <w:r w:rsidR="0034111E" w:rsidRPr="00E34757">
              <w:rPr>
                <w:rFonts w:ascii="Times New Roman" w:hAnsi="Times New Roman" w:cs="Times New Roman"/>
                <w:b/>
              </w:rPr>
              <w:t>nformacje dotyczące</w:t>
            </w:r>
            <w:r w:rsidRPr="00E34757">
              <w:rPr>
                <w:rFonts w:ascii="Times New Roman" w:hAnsi="Times New Roman" w:cs="Times New Roman"/>
                <w:b/>
              </w:rPr>
              <w:t xml:space="preserve"> przychodów i marży zysku osiąganych przez przedsiębiorstwo </w:t>
            </w:r>
            <w:r w:rsidR="00094CE1" w:rsidRPr="00E34757">
              <w:rPr>
                <w:rFonts w:ascii="Times New Roman" w:hAnsi="Times New Roman" w:cs="Times New Roman"/>
                <w:b/>
              </w:rPr>
              <w:t xml:space="preserve">kolejowe </w:t>
            </w:r>
            <w:r w:rsidRPr="00E34757">
              <w:rPr>
                <w:rFonts w:ascii="Times New Roman" w:hAnsi="Times New Roman" w:cs="Times New Roman"/>
                <w:b/>
              </w:rPr>
              <w:t>na trasie objętej umową o świadczenie usług publicznych lub trasie alternatywnej:</w:t>
            </w:r>
          </w:p>
          <w:p w:rsidR="0038790E" w:rsidRPr="00E34757" w:rsidRDefault="0038790E" w:rsidP="00FF0568">
            <w:pPr>
              <w:jc w:val="both"/>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8790E" w:rsidRPr="00E34757" w:rsidRDefault="0038790E" w:rsidP="00E33844">
            <w:pPr>
              <w:jc w:val="both"/>
              <w:rPr>
                <w:rFonts w:ascii="Times New Roman" w:hAnsi="Times New Roman" w:cs="Times New Roman"/>
                <w:b/>
              </w:rPr>
            </w:pPr>
          </w:p>
        </w:tc>
      </w:tr>
      <w:tr w:rsidR="0038790E"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8790E" w:rsidRPr="00E34757" w:rsidRDefault="0038790E" w:rsidP="0038790E">
            <w:pPr>
              <w:rPr>
                <w:rFonts w:ascii="Times New Roman" w:hAnsi="Times New Roman" w:cs="Times New Roman"/>
                <w:b/>
              </w:rPr>
            </w:pPr>
            <w:r w:rsidRPr="00E34757">
              <w:rPr>
                <w:rFonts w:ascii="Times New Roman" w:hAnsi="Times New Roman" w:cs="Times New Roman"/>
                <w:b/>
              </w:rPr>
              <w:t>I</w:t>
            </w:r>
            <w:r w:rsidR="0034111E" w:rsidRPr="00E34757">
              <w:rPr>
                <w:rFonts w:ascii="Times New Roman" w:hAnsi="Times New Roman" w:cs="Times New Roman"/>
                <w:b/>
              </w:rPr>
              <w:t>nformacje dotyczące</w:t>
            </w:r>
            <w:r w:rsidRPr="00E34757">
              <w:rPr>
                <w:rFonts w:ascii="Times New Roman" w:hAnsi="Times New Roman" w:cs="Times New Roman"/>
                <w:b/>
              </w:rPr>
              <w:t xml:space="preserve"> rozkładu jazdy w odniesieniu do przewozów, w tym godzin odjazdu, stacji pośrednich, godzin przyjazdu i połączeń:</w:t>
            </w:r>
          </w:p>
          <w:p w:rsidR="0038790E" w:rsidRPr="00E34757" w:rsidRDefault="0038790E" w:rsidP="0038790E">
            <w:pPr>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8790E" w:rsidRPr="00E34757" w:rsidRDefault="0038790E" w:rsidP="00E33844">
            <w:pPr>
              <w:jc w:val="both"/>
              <w:rPr>
                <w:rFonts w:ascii="Times New Roman" w:hAnsi="Times New Roman" w:cs="Times New Roman"/>
                <w:b/>
              </w:rPr>
            </w:pPr>
          </w:p>
        </w:tc>
      </w:tr>
      <w:tr w:rsidR="0038790E"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8790E" w:rsidRPr="00E34757" w:rsidRDefault="0034111E" w:rsidP="0038790E">
            <w:pPr>
              <w:rPr>
                <w:rFonts w:ascii="Times New Roman" w:hAnsi="Times New Roman" w:cs="Times New Roman"/>
                <w:b/>
              </w:rPr>
            </w:pPr>
            <w:r w:rsidRPr="00E34757">
              <w:rPr>
                <w:rFonts w:ascii="Times New Roman" w:hAnsi="Times New Roman" w:cs="Times New Roman"/>
                <w:b/>
              </w:rPr>
              <w:t>Informacje dotyczące s</w:t>
            </w:r>
            <w:r w:rsidR="0038790E" w:rsidRPr="00E34757">
              <w:rPr>
                <w:rFonts w:ascii="Times New Roman" w:hAnsi="Times New Roman" w:cs="Times New Roman"/>
                <w:b/>
              </w:rPr>
              <w:t>zacowanej elastyczności przewozów (np. elastyczności cen, elastyczności</w:t>
            </w:r>
            <w:r w:rsidR="0038790E" w:rsidRPr="00E34757">
              <w:rPr>
                <w:rFonts w:ascii="Times New Roman" w:hAnsi="Times New Roman" w:cs="Times New Roman"/>
                <w:b/>
              </w:rPr>
              <w:br/>
              <w:t>w odniesieniu do cech jakościowych usług):</w:t>
            </w:r>
          </w:p>
          <w:p w:rsidR="0038790E" w:rsidRPr="00E34757" w:rsidRDefault="0038790E" w:rsidP="0038790E">
            <w:pPr>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8790E" w:rsidRDefault="0038790E"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Default="00056019" w:rsidP="00E33844">
            <w:pPr>
              <w:jc w:val="both"/>
              <w:rPr>
                <w:rFonts w:ascii="Times New Roman" w:hAnsi="Times New Roman" w:cs="Times New Roman"/>
                <w:b/>
              </w:rPr>
            </w:pPr>
          </w:p>
          <w:p w:rsidR="00056019" w:rsidRPr="00E34757" w:rsidRDefault="00056019" w:rsidP="00E33844">
            <w:pPr>
              <w:jc w:val="both"/>
              <w:rPr>
                <w:rFonts w:ascii="Times New Roman" w:hAnsi="Times New Roman" w:cs="Times New Roman"/>
                <w:b/>
              </w:rPr>
            </w:pPr>
          </w:p>
        </w:tc>
      </w:tr>
      <w:tr w:rsidR="00AE55F6" w:rsidRPr="00E34757" w:rsidTr="00E36731">
        <w:trPr>
          <w:gridAfter w:val="1"/>
          <w:wAfter w:w="26" w:type="dxa"/>
          <w:trHeight w:val="494"/>
        </w:trPr>
        <w:tc>
          <w:tcPr>
            <w:tcW w:w="907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AE55F6" w:rsidRPr="00E34757" w:rsidRDefault="009875A4" w:rsidP="00056019">
            <w:pPr>
              <w:rPr>
                <w:rFonts w:ascii="Times New Roman" w:hAnsi="Times New Roman" w:cs="Times New Roman"/>
                <w:b/>
              </w:rPr>
            </w:pPr>
            <w:r w:rsidRPr="00E34757">
              <w:rPr>
                <w:rFonts w:ascii="Times New Roman" w:hAnsi="Times New Roman" w:cs="Times New Roman"/>
                <w:b/>
              </w:rPr>
              <w:lastRenderedPageBreak/>
              <w:t xml:space="preserve">Dodatkowe informacje, do których organ regulacyjny </w:t>
            </w:r>
            <w:r w:rsidR="00056019">
              <w:rPr>
                <w:rFonts w:ascii="Times New Roman" w:hAnsi="Times New Roman" w:cs="Times New Roman"/>
                <w:b/>
              </w:rPr>
              <w:t xml:space="preserve">może wzywać na podstawie art. 9 ust. 1 </w:t>
            </w:r>
            <w:r w:rsidRPr="00E34757">
              <w:rPr>
                <w:rFonts w:ascii="Times New Roman" w:hAnsi="Times New Roman" w:cs="Times New Roman"/>
                <w:b/>
              </w:rPr>
              <w:t>rozporządzenia 2018/1795</w:t>
            </w:r>
            <w:r w:rsidRPr="00E34757">
              <w:rPr>
                <w:rStyle w:val="Odwoanieprzypisudolnego"/>
                <w:rFonts w:ascii="Times New Roman" w:hAnsi="Times New Roman" w:cs="Times New Roman"/>
                <w:b/>
              </w:rPr>
              <w:footnoteReference w:id="7"/>
            </w:r>
            <w:r w:rsidRPr="00E34757">
              <w:rPr>
                <w:rFonts w:ascii="Times New Roman" w:hAnsi="Times New Roman" w:cs="Times New Roman"/>
                <w:b/>
              </w:rPr>
              <w:t>:</w:t>
            </w:r>
          </w:p>
        </w:tc>
      </w:tr>
      <w:tr w:rsidR="00F30C45"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30C45" w:rsidRDefault="005F3B33" w:rsidP="0038790E">
            <w:pPr>
              <w:rPr>
                <w:rFonts w:ascii="Times New Roman" w:hAnsi="Times New Roman" w:cs="Times New Roman"/>
                <w:b/>
              </w:rPr>
            </w:pPr>
            <w:r w:rsidRPr="00E34757">
              <w:rPr>
                <w:rFonts w:ascii="Times New Roman" w:hAnsi="Times New Roman" w:cs="Times New Roman"/>
                <w:b/>
              </w:rPr>
              <w:t>Informacje dotyczące szacowanego skutku uruchomienia planowanej nowej usługi kolejowego przewozu pasażerskiego na wyniki i jakość kolejowych przewozów osób przedsiębiorstwa kolejowego:</w:t>
            </w:r>
          </w:p>
          <w:p w:rsidR="00E34757" w:rsidRPr="00E34757" w:rsidRDefault="00E34757" w:rsidP="0038790E">
            <w:pPr>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30C45" w:rsidRPr="00E34757" w:rsidRDefault="00F30C45" w:rsidP="00E33844">
            <w:pPr>
              <w:jc w:val="both"/>
              <w:rPr>
                <w:rFonts w:ascii="Times New Roman" w:hAnsi="Times New Roman" w:cs="Times New Roman"/>
                <w:b/>
              </w:rPr>
            </w:pPr>
            <w:bookmarkStart w:id="0" w:name="_GoBack"/>
            <w:bookmarkEnd w:id="0"/>
          </w:p>
        </w:tc>
      </w:tr>
      <w:tr w:rsidR="00F30C45"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30C45" w:rsidRDefault="000D57CA" w:rsidP="005214B6">
            <w:pPr>
              <w:rPr>
                <w:rFonts w:ascii="Times New Roman" w:hAnsi="Times New Roman" w:cs="Times New Roman"/>
                <w:b/>
              </w:rPr>
            </w:pPr>
            <w:r w:rsidRPr="00E34757">
              <w:rPr>
                <w:rFonts w:ascii="Times New Roman" w:hAnsi="Times New Roman" w:cs="Times New Roman"/>
                <w:b/>
              </w:rPr>
              <w:t>Informacje dotyczące spodziewanego wpływu uruchomienia planowanej nowej usługi kolejowego przewozu pasażerskiego na odpowiednie inwestycje przedsiębiorstwa kolejowego, w tym w odniesieniu do taboru kolejowego:</w:t>
            </w:r>
          </w:p>
          <w:p w:rsidR="00E34757" w:rsidRPr="00E34757" w:rsidRDefault="00E34757" w:rsidP="005214B6">
            <w:pPr>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30C45" w:rsidRPr="00E34757" w:rsidRDefault="00F30C45" w:rsidP="00E33844">
            <w:pPr>
              <w:jc w:val="both"/>
              <w:rPr>
                <w:rFonts w:ascii="Times New Roman" w:hAnsi="Times New Roman" w:cs="Times New Roman"/>
                <w:b/>
              </w:rPr>
            </w:pPr>
          </w:p>
        </w:tc>
      </w:tr>
      <w:tr w:rsidR="00BC2B1F" w:rsidRPr="00E34757" w:rsidTr="00236856">
        <w:trPr>
          <w:gridAfter w:val="1"/>
          <w:wAfter w:w="26" w:type="dxa"/>
          <w:trHeight w:val="494"/>
        </w:trPr>
        <w:tc>
          <w:tcPr>
            <w:tcW w:w="29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D57CA" w:rsidRPr="00E34757" w:rsidRDefault="000D57CA" w:rsidP="000D57CA">
            <w:pPr>
              <w:rPr>
                <w:rFonts w:ascii="Times New Roman" w:hAnsi="Times New Roman" w:cs="Times New Roman"/>
                <w:b/>
              </w:rPr>
            </w:pPr>
            <w:r w:rsidRPr="00E34757">
              <w:rPr>
                <w:rFonts w:ascii="Times New Roman" w:hAnsi="Times New Roman" w:cs="Times New Roman"/>
                <w:b/>
              </w:rPr>
              <w:t xml:space="preserve">Informacje dotyczące zmiany kosztów ponoszonych i przychodów uzyskiwanych przez przedsiębiorstwo kolejowe (w tym również, w stosownych przypadkach, informacji na temat potencjalnych oszczędności kosztów, takich jak tych wynikających z braku wymiany taboru osiągającego koniec okresu użytkowania lub niezastępowania pracowników, których umowa się kończy) w związku z planowanym uruchomieniem nowych </w:t>
            </w:r>
          </w:p>
          <w:p w:rsidR="00BC2B1F" w:rsidRDefault="000D57CA" w:rsidP="000D57CA">
            <w:pPr>
              <w:rPr>
                <w:rFonts w:ascii="Times New Roman" w:hAnsi="Times New Roman" w:cs="Times New Roman"/>
                <w:b/>
              </w:rPr>
            </w:pPr>
            <w:r w:rsidRPr="00E34757">
              <w:rPr>
                <w:rFonts w:ascii="Times New Roman" w:hAnsi="Times New Roman" w:cs="Times New Roman"/>
                <w:b/>
              </w:rPr>
              <w:t>przewozów pasażerskich:</w:t>
            </w:r>
          </w:p>
          <w:p w:rsidR="00E34757" w:rsidRPr="00E34757" w:rsidRDefault="00E34757" w:rsidP="000D57CA">
            <w:pPr>
              <w:rPr>
                <w:rFonts w:ascii="Times New Roman" w:hAnsi="Times New Roman" w:cs="Times New Roman"/>
                <w:b/>
              </w:rPr>
            </w:pPr>
          </w:p>
        </w:tc>
        <w:tc>
          <w:tcPr>
            <w:tcW w:w="609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C2B1F" w:rsidRPr="00E34757" w:rsidRDefault="00BC2B1F" w:rsidP="00E33844">
            <w:pPr>
              <w:jc w:val="both"/>
              <w:rPr>
                <w:rFonts w:ascii="Times New Roman" w:hAnsi="Times New Roman" w:cs="Times New Roman"/>
                <w:b/>
              </w:rPr>
            </w:pPr>
          </w:p>
        </w:tc>
      </w:tr>
    </w:tbl>
    <w:p w:rsidR="00E7303D" w:rsidRDefault="00E7303D">
      <w:r>
        <w:br w:type="page"/>
      </w:r>
    </w:p>
    <w:tbl>
      <w:tblPr>
        <w:tblStyle w:val="Tabela-Siatka"/>
        <w:tblW w:w="9072" w:type="dxa"/>
        <w:tblInd w:w="108" w:type="dxa"/>
        <w:tblLayout w:type="fixed"/>
        <w:tblLook w:val="04A0" w:firstRow="1" w:lastRow="0" w:firstColumn="1" w:lastColumn="0" w:noHBand="0" w:noVBand="1"/>
      </w:tblPr>
      <w:tblGrid>
        <w:gridCol w:w="612"/>
        <w:gridCol w:w="2365"/>
        <w:gridCol w:w="6095"/>
      </w:tblGrid>
      <w:tr w:rsidR="00094CE1" w:rsidRPr="00E34757" w:rsidTr="00E7303D">
        <w:trPr>
          <w:trHeight w:val="494"/>
        </w:trPr>
        <w:tc>
          <w:tcPr>
            <w:tcW w:w="2977"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94CE1" w:rsidRDefault="000D57CA" w:rsidP="00BC2B1F">
            <w:pPr>
              <w:rPr>
                <w:rFonts w:ascii="Times New Roman" w:hAnsi="Times New Roman" w:cs="Times New Roman"/>
                <w:b/>
              </w:rPr>
            </w:pPr>
            <w:r w:rsidRPr="00E34757">
              <w:rPr>
                <w:rFonts w:ascii="Times New Roman" w:hAnsi="Times New Roman" w:cs="Times New Roman"/>
                <w:b/>
              </w:rPr>
              <w:lastRenderedPageBreak/>
              <w:t>Informacje dotyczące czynności jakie zostały podjęte przez przedsiębiorstwo kolejowe, które stanowiły podstawę dla uzyskania wielkości finansowych, przy wykorzystaniu których oszacowano spodziewany wpływ uruchomienia nowej usługi na połączenia wykonywane na podstawie umowy o świadczenie usług publicznych:</w:t>
            </w:r>
          </w:p>
          <w:p w:rsidR="00E34757" w:rsidRPr="00E34757" w:rsidRDefault="00E34757" w:rsidP="00BC2B1F">
            <w:pPr>
              <w:rPr>
                <w:rFonts w:ascii="Times New Roman" w:hAnsi="Times New Roman" w:cs="Times New Roman"/>
                <w:b/>
              </w:rPr>
            </w:pPr>
          </w:p>
        </w:tc>
        <w:tc>
          <w:tcPr>
            <w:tcW w:w="6095" w:type="dxa"/>
            <w:tcBorders>
              <w:top w:val="single" w:sz="12" w:space="0" w:color="auto"/>
              <w:left w:val="single" w:sz="12" w:space="0" w:color="auto"/>
              <w:bottom w:val="single" w:sz="4" w:space="0" w:color="auto"/>
              <w:right w:val="single" w:sz="12" w:space="0" w:color="auto"/>
            </w:tcBorders>
            <w:shd w:val="clear" w:color="auto" w:fill="auto"/>
            <w:vAlign w:val="center"/>
          </w:tcPr>
          <w:p w:rsidR="00094CE1" w:rsidRPr="00E34757" w:rsidRDefault="00094CE1" w:rsidP="00E33844">
            <w:pPr>
              <w:jc w:val="both"/>
              <w:rPr>
                <w:rFonts w:ascii="Times New Roman" w:hAnsi="Times New Roman" w:cs="Times New Roman"/>
                <w:b/>
              </w:rPr>
            </w:pPr>
          </w:p>
        </w:tc>
      </w:tr>
      <w:tr w:rsidR="00BC2B1F" w:rsidRPr="00E34757" w:rsidTr="00E7303D">
        <w:trPr>
          <w:trHeight w:val="494"/>
        </w:trPr>
        <w:tc>
          <w:tcPr>
            <w:tcW w:w="2977"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BC2B1F" w:rsidRDefault="000D57CA" w:rsidP="0038790E">
            <w:pPr>
              <w:rPr>
                <w:rFonts w:ascii="Times New Roman" w:hAnsi="Times New Roman" w:cs="Times New Roman"/>
                <w:b/>
              </w:rPr>
            </w:pPr>
            <w:r w:rsidRPr="00E34757">
              <w:rPr>
                <w:rFonts w:ascii="Times New Roman" w:hAnsi="Times New Roman" w:cs="Times New Roman"/>
                <w:b/>
              </w:rPr>
              <w:t>Informacje dotyczące możliwości wygenerowania nowych potoków podróżnych przez proponowane kolejowe przewozy pasażerskie w sieci objętej umową o świadczenie usług publicznych (np. poprzez doprowadzanie pasażerów, którzy mogą być zainteresowani połączeniem z usługą regionalną objętą umową o świadczenie usług publicznych):</w:t>
            </w:r>
          </w:p>
          <w:p w:rsidR="00E34757" w:rsidRPr="00E34757" w:rsidRDefault="00E34757" w:rsidP="0038790E">
            <w:pPr>
              <w:rPr>
                <w:rFonts w:ascii="Times New Roman" w:hAnsi="Times New Roman" w:cs="Times New Roman"/>
                <w:b/>
              </w:rPr>
            </w:pPr>
          </w:p>
        </w:tc>
        <w:tc>
          <w:tcPr>
            <w:tcW w:w="6095" w:type="dxa"/>
            <w:tcBorders>
              <w:top w:val="single" w:sz="12" w:space="0" w:color="auto"/>
              <w:left w:val="single" w:sz="12" w:space="0" w:color="auto"/>
              <w:bottom w:val="single" w:sz="4" w:space="0" w:color="auto"/>
              <w:right w:val="single" w:sz="12" w:space="0" w:color="auto"/>
            </w:tcBorders>
            <w:shd w:val="clear" w:color="auto" w:fill="auto"/>
            <w:vAlign w:val="center"/>
          </w:tcPr>
          <w:p w:rsidR="00BC2B1F" w:rsidRPr="00E34757" w:rsidRDefault="00BC2B1F" w:rsidP="00E33844">
            <w:pPr>
              <w:jc w:val="both"/>
              <w:rPr>
                <w:rFonts w:ascii="Times New Roman" w:hAnsi="Times New Roman" w:cs="Times New Roman"/>
                <w:b/>
              </w:rPr>
            </w:pPr>
          </w:p>
        </w:tc>
      </w:tr>
      <w:tr w:rsidR="00BC2B1F" w:rsidRPr="00E34757" w:rsidTr="00E7303D">
        <w:trPr>
          <w:trHeight w:val="494"/>
        </w:trPr>
        <w:tc>
          <w:tcPr>
            <w:tcW w:w="2977"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BC2B1F" w:rsidRDefault="000D57CA" w:rsidP="005214B6">
            <w:pPr>
              <w:rPr>
                <w:rFonts w:ascii="Times New Roman" w:hAnsi="Times New Roman" w:cs="Times New Roman"/>
                <w:b/>
              </w:rPr>
            </w:pPr>
            <w:r w:rsidRPr="00E34757">
              <w:rPr>
                <w:rFonts w:ascii="Times New Roman" w:hAnsi="Times New Roman" w:cs="Times New Roman"/>
                <w:b/>
              </w:rPr>
              <w:t>Informacje dotyczące konkurencyjnych reakcji przedsiębiorstwa kolejowego w związku z planowanym uruchomieniem nowych kolejowych przewozów pasażerskich:</w:t>
            </w:r>
          </w:p>
          <w:p w:rsidR="00E34757" w:rsidRPr="00E34757" w:rsidRDefault="00E34757" w:rsidP="005214B6">
            <w:pPr>
              <w:rPr>
                <w:rFonts w:ascii="Times New Roman" w:hAnsi="Times New Roman" w:cs="Times New Roman"/>
                <w:b/>
              </w:rPr>
            </w:pPr>
          </w:p>
        </w:tc>
        <w:tc>
          <w:tcPr>
            <w:tcW w:w="6095" w:type="dxa"/>
            <w:tcBorders>
              <w:top w:val="single" w:sz="12" w:space="0" w:color="auto"/>
              <w:left w:val="single" w:sz="12" w:space="0" w:color="auto"/>
              <w:bottom w:val="single" w:sz="4" w:space="0" w:color="auto"/>
              <w:right w:val="single" w:sz="12" w:space="0" w:color="auto"/>
            </w:tcBorders>
            <w:shd w:val="clear" w:color="auto" w:fill="auto"/>
            <w:vAlign w:val="center"/>
          </w:tcPr>
          <w:p w:rsidR="00BC2B1F" w:rsidRPr="00E34757" w:rsidRDefault="00BC2B1F" w:rsidP="00E33844">
            <w:pPr>
              <w:jc w:val="both"/>
              <w:rPr>
                <w:rFonts w:ascii="Times New Roman" w:hAnsi="Times New Roman" w:cs="Times New Roman"/>
                <w:b/>
              </w:rPr>
            </w:pPr>
          </w:p>
        </w:tc>
      </w:tr>
      <w:tr w:rsidR="00A1044D" w:rsidRPr="00E34757" w:rsidTr="00E7303D">
        <w:trPr>
          <w:trHeight w:val="1093"/>
        </w:trPr>
        <w:tc>
          <w:tcPr>
            <w:tcW w:w="612" w:type="dxa"/>
            <w:vMerge w:val="restart"/>
            <w:tcBorders>
              <w:top w:val="single" w:sz="4" w:space="0" w:color="auto"/>
              <w:left w:val="single" w:sz="12" w:space="0" w:color="auto"/>
              <w:right w:val="single" w:sz="12" w:space="0" w:color="auto"/>
            </w:tcBorders>
            <w:shd w:val="clear" w:color="auto" w:fill="D9D9D9" w:themeFill="background1" w:themeFillShade="D9"/>
            <w:textDirection w:val="btLr"/>
            <w:vAlign w:val="center"/>
          </w:tcPr>
          <w:p w:rsidR="00A1044D" w:rsidRPr="00E34757" w:rsidRDefault="00A1044D" w:rsidP="00A1044D">
            <w:pPr>
              <w:ind w:left="113" w:right="113"/>
              <w:jc w:val="center"/>
              <w:rPr>
                <w:rFonts w:ascii="Times New Roman" w:hAnsi="Times New Roman" w:cs="Times New Roman"/>
                <w:b/>
              </w:rPr>
            </w:pPr>
            <w:r w:rsidRPr="00E34757">
              <w:rPr>
                <w:rFonts w:ascii="Times New Roman" w:hAnsi="Times New Roman" w:cs="Times New Roman"/>
                <w:b/>
              </w:rPr>
              <w:t>Załączniki</w:t>
            </w:r>
          </w:p>
        </w:tc>
        <w:tc>
          <w:tcPr>
            <w:tcW w:w="8460" w:type="dxa"/>
            <w:gridSpan w:val="2"/>
            <w:tcBorders>
              <w:top w:val="single" w:sz="4" w:space="0" w:color="auto"/>
              <w:left w:val="single" w:sz="12" w:space="0" w:color="auto"/>
              <w:bottom w:val="single" w:sz="4" w:space="0" w:color="auto"/>
              <w:right w:val="single" w:sz="12" w:space="0" w:color="auto"/>
            </w:tcBorders>
          </w:tcPr>
          <w:p w:rsidR="00A1044D" w:rsidRPr="00E34757" w:rsidRDefault="00A1044D" w:rsidP="00485D31">
            <w:pPr>
              <w:pStyle w:val="Akapitzlist"/>
              <w:numPr>
                <w:ilvl w:val="0"/>
                <w:numId w:val="1"/>
              </w:numPr>
              <w:spacing w:after="200" w:line="276" w:lineRule="auto"/>
              <w:ind w:left="433"/>
              <w:jc w:val="both"/>
              <w:rPr>
                <w:rFonts w:ascii="Times New Roman" w:hAnsi="Times New Roman" w:cs="Times New Roman"/>
              </w:rPr>
            </w:pPr>
            <w:r w:rsidRPr="00E34757">
              <w:rPr>
                <w:rFonts w:ascii="Times New Roman" w:hAnsi="Times New Roman" w:cs="Times New Roman"/>
              </w:rPr>
              <w:t>Część analityczna wniosku o przeprowadzenie badania równowagi ekonomicznej w wersji zawierającej szczególnie chronione informacje handlowe wraz ze wskazaniem rodzaju i zakresu występowania tych informacji w ww. umowie (np. tajemnica przedsiębiorstwa) oraz uzasadnieniem wyłączenia jawności wskazanych informacji</w:t>
            </w:r>
            <w:r w:rsidR="00485D31" w:rsidRPr="00E34757">
              <w:rPr>
                <w:rFonts w:ascii="Times New Roman" w:hAnsi="Times New Roman" w:cs="Times New Roman"/>
              </w:rPr>
              <w:t>.</w:t>
            </w:r>
          </w:p>
        </w:tc>
      </w:tr>
      <w:tr w:rsidR="00A1044D" w:rsidRPr="00E34757" w:rsidTr="00E7303D">
        <w:trPr>
          <w:trHeight w:val="908"/>
        </w:trPr>
        <w:tc>
          <w:tcPr>
            <w:tcW w:w="612" w:type="dxa"/>
            <w:vMerge/>
            <w:tcBorders>
              <w:top w:val="single" w:sz="4" w:space="0" w:color="auto"/>
              <w:left w:val="single" w:sz="12" w:space="0" w:color="auto"/>
              <w:right w:val="single" w:sz="12" w:space="0" w:color="auto"/>
            </w:tcBorders>
            <w:shd w:val="clear" w:color="auto" w:fill="D9D9D9" w:themeFill="background1" w:themeFillShade="D9"/>
            <w:textDirection w:val="btLr"/>
            <w:vAlign w:val="center"/>
          </w:tcPr>
          <w:p w:rsidR="00A1044D" w:rsidRPr="00E34757" w:rsidRDefault="00A1044D" w:rsidP="00A1044D">
            <w:pPr>
              <w:ind w:left="113" w:right="113"/>
              <w:jc w:val="center"/>
              <w:rPr>
                <w:rFonts w:ascii="Times New Roman" w:hAnsi="Times New Roman" w:cs="Times New Roman"/>
                <w:b/>
              </w:rPr>
            </w:pPr>
          </w:p>
        </w:tc>
        <w:tc>
          <w:tcPr>
            <w:tcW w:w="8460" w:type="dxa"/>
            <w:gridSpan w:val="2"/>
            <w:tcBorders>
              <w:top w:val="single" w:sz="4" w:space="0" w:color="auto"/>
              <w:left w:val="single" w:sz="12" w:space="0" w:color="auto"/>
              <w:bottom w:val="single" w:sz="4" w:space="0" w:color="auto"/>
              <w:right w:val="single" w:sz="12" w:space="0" w:color="auto"/>
            </w:tcBorders>
          </w:tcPr>
          <w:p w:rsidR="00A1044D" w:rsidRPr="00E34757" w:rsidRDefault="00A1044D" w:rsidP="00E34757">
            <w:pPr>
              <w:pStyle w:val="Akapitzlist"/>
              <w:numPr>
                <w:ilvl w:val="0"/>
                <w:numId w:val="1"/>
              </w:numPr>
              <w:ind w:left="433"/>
              <w:jc w:val="both"/>
              <w:rPr>
                <w:rFonts w:ascii="Times New Roman" w:hAnsi="Times New Roman" w:cs="Times New Roman"/>
              </w:rPr>
            </w:pPr>
            <w:r w:rsidRPr="00E34757">
              <w:rPr>
                <w:rFonts w:ascii="Times New Roman" w:hAnsi="Times New Roman" w:cs="Times New Roman"/>
              </w:rPr>
              <w:t>Część analityczna wniosku o przeprowadzenie badania równowagi ekonomicznej w wersji niezawierającej szczególnie chronion</w:t>
            </w:r>
            <w:r w:rsidR="00E34757">
              <w:rPr>
                <w:rFonts w:ascii="Times New Roman" w:hAnsi="Times New Roman" w:cs="Times New Roman"/>
              </w:rPr>
              <w:t>ych</w:t>
            </w:r>
            <w:r w:rsidRPr="00E34757">
              <w:rPr>
                <w:rFonts w:ascii="Times New Roman" w:hAnsi="Times New Roman" w:cs="Times New Roman"/>
              </w:rPr>
              <w:t xml:space="preserve"> informacj</w:t>
            </w:r>
            <w:r w:rsidR="00E34757">
              <w:rPr>
                <w:rFonts w:ascii="Times New Roman" w:hAnsi="Times New Roman" w:cs="Times New Roman"/>
              </w:rPr>
              <w:t>i</w:t>
            </w:r>
            <w:r w:rsidRPr="00E34757">
              <w:rPr>
                <w:rFonts w:ascii="Times New Roman" w:hAnsi="Times New Roman" w:cs="Times New Roman"/>
              </w:rPr>
              <w:t xml:space="preserve"> handlow</w:t>
            </w:r>
            <w:r w:rsidR="00E34757">
              <w:rPr>
                <w:rFonts w:ascii="Times New Roman" w:hAnsi="Times New Roman" w:cs="Times New Roman"/>
              </w:rPr>
              <w:t>ych</w:t>
            </w:r>
            <w:r w:rsidRPr="00E34757">
              <w:rPr>
                <w:rFonts w:ascii="Times New Roman" w:hAnsi="Times New Roman" w:cs="Times New Roman"/>
              </w:rPr>
              <w:t xml:space="preserve"> (zgodność z uzasadnieniem wyłączenia jawności wskazanych informacji w</w:t>
            </w:r>
            <w:r w:rsidR="00E34757">
              <w:rPr>
                <w:rFonts w:ascii="Times New Roman" w:hAnsi="Times New Roman" w:cs="Times New Roman"/>
              </w:rPr>
              <w:t>ymienio</w:t>
            </w:r>
            <w:r w:rsidRPr="00E34757">
              <w:rPr>
                <w:rFonts w:ascii="Times New Roman" w:hAnsi="Times New Roman" w:cs="Times New Roman"/>
              </w:rPr>
              <w:t>nych w</w:t>
            </w:r>
            <w:r w:rsidR="00E34757">
              <w:rPr>
                <w:rFonts w:ascii="Times New Roman" w:hAnsi="Times New Roman" w:cs="Times New Roman"/>
              </w:rPr>
              <w:t> </w:t>
            </w:r>
            <w:r w:rsidRPr="00E34757">
              <w:rPr>
                <w:rFonts w:ascii="Times New Roman" w:hAnsi="Times New Roman" w:cs="Times New Roman"/>
              </w:rPr>
              <w:t>punkcie powyżej).</w:t>
            </w:r>
          </w:p>
        </w:tc>
      </w:tr>
      <w:tr w:rsidR="00A1044D" w:rsidRPr="00E34757" w:rsidTr="00E7303D">
        <w:trPr>
          <w:trHeight w:val="908"/>
        </w:trPr>
        <w:tc>
          <w:tcPr>
            <w:tcW w:w="612" w:type="dxa"/>
            <w:vMerge/>
            <w:tcBorders>
              <w:top w:val="single" w:sz="4" w:space="0" w:color="auto"/>
              <w:left w:val="single" w:sz="12" w:space="0" w:color="auto"/>
              <w:right w:val="single" w:sz="12" w:space="0" w:color="auto"/>
            </w:tcBorders>
            <w:shd w:val="clear" w:color="auto" w:fill="D9D9D9" w:themeFill="background1" w:themeFillShade="D9"/>
            <w:textDirection w:val="btLr"/>
            <w:vAlign w:val="center"/>
          </w:tcPr>
          <w:p w:rsidR="00A1044D" w:rsidRPr="00E34757" w:rsidRDefault="00A1044D" w:rsidP="00A1044D">
            <w:pPr>
              <w:ind w:left="113" w:right="113"/>
              <w:jc w:val="center"/>
              <w:rPr>
                <w:rFonts w:ascii="Times New Roman" w:hAnsi="Times New Roman" w:cs="Times New Roman"/>
                <w:b/>
              </w:rPr>
            </w:pPr>
          </w:p>
        </w:tc>
        <w:tc>
          <w:tcPr>
            <w:tcW w:w="8460" w:type="dxa"/>
            <w:gridSpan w:val="2"/>
            <w:tcBorders>
              <w:top w:val="single" w:sz="4" w:space="0" w:color="auto"/>
              <w:left w:val="single" w:sz="12" w:space="0" w:color="auto"/>
              <w:bottom w:val="single" w:sz="4" w:space="0" w:color="auto"/>
              <w:right w:val="single" w:sz="12" w:space="0" w:color="auto"/>
            </w:tcBorders>
          </w:tcPr>
          <w:p w:rsidR="00A1044D" w:rsidRPr="00E34757" w:rsidRDefault="00A1044D" w:rsidP="00485D31">
            <w:pPr>
              <w:pStyle w:val="Akapitzlist"/>
              <w:numPr>
                <w:ilvl w:val="0"/>
                <w:numId w:val="1"/>
              </w:numPr>
              <w:ind w:left="414"/>
              <w:jc w:val="both"/>
              <w:rPr>
                <w:rFonts w:ascii="Times New Roman" w:hAnsi="Times New Roman" w:cs="Times New Roman"/>
              </w:rPr>
            </w:pPr>
            <w:r w:rsidRPr="00E34757">
              <w:rPr>
                <w:rFonts w:ascii="Times New Roman" w:hAnsi="Times New Roman" w:cs="Times New Roman"/>
              </w:rPr>
              <w:t>Kopia umowy o świadczenie usług publicznych, której podmiot wnioskujący</w:t>
            </w:r>
            <w:r w:rsidRPr="00E34757">
              <w:rPr>
                <w:rFonts w:ascii="Times New Roman" w:hAnsi="Times New Roman" w:cs="Times New Roman"/>
              </w:rPr>
              <w:br/>
              <w:t>o przeprowadzenie badania równowagi ekonomicznej jest stroną, w wersji zawierającej szczególnie chronione informacje handlowe wraz ze wskazaniem rodzaju i</w:t>
            </w:r>
            <w:r w:rsidR="00485D31" w:rsidRPr="00E34757">
              <w:rPr>
                <w:rFonts w:ascii="Times New Roman" w:hAnsi="Times New Roman" w:cs="Times New Roman"/>
              </w:rPr>
              <w:t> </w:t>
            </w:r>
            <w:r w:rsidRPr="00E34757">
              <w:rPr>
                <w:rFonts w:ascii="Times New Roman" w:hAnsi="Times New Roman" w:cs="Times New Roman"/>
              </w:rPr>
              <w:t>zakresu występowania tych informacji w ww. umowie (np. tajemnica przedsiębiorstwa) oraz uzasadnieniem wyłączenia jawności wskazanych informacji</w:t>
            </w:r>
            <w:r w:rsidRPr="00E34757">
              <w:rPr>
                <w:rStyle w:val="Odwoanieprzypisudolnego"/>
                <w:rFonts w:ascii="Times New Roman" w:hAnsi="Times New Roman" w:cs="Times New Roman"/>
              </w:rPr>
              <w:footnoteReference w:id="8"/>
            </w:r>
            <w:r w:rsidRPr="00E34757">
              <w:rPr>
                <w:rFonts w:ascii="Times New Roman" w:hAnsi="Times New Roman" w:cs="Times New Roman"/>
              </w:rPr>
              <w:t>.</w:t>
            </w:r>
          </w:p>
        </w:tc>
      </w:tr>
      <w:tr w:rsidR="00A1044D" w:rsidRPr="00E34757" w:rsidTr="00E7303D">
        <w:trPr>
          <w:trHeight w:val="500"/>
        </w:trPr>
        <w:tc>
          <w:tcPr>
            <w:tcW w:w="612" w:type="dxa"/>
            <w:vMerge/>
            <w:tcBorders>
              <w:left w:val="single" w:sz="12" w:space="0" w:color="auto"/>
              <w:right w:val="single" w:sz="12" w:space="0" w:color="auto"/>
            </w:tcBorders>
            <w:shd w:val="clear" w:color="auto" w:fill="D9D9D9" w:themeFill="background1" w:themeFillShade="D9"/>
            <w:vAlign w:val="center"/>
          </w:tcPr>
          <w:p w:rsidR="00A1044D" w:rsidRPr="00E34757" w:rsidRDefault="00A1044D" w:rsidP="00A1044D">
            <w:pPr>
              <w:rPr>
                <w:rFonts w:ascii="Times New Roman" w:hAnsi="Times New Roman" w:cs="Times New Roman"/>
              </w:rPr>
            </w:pPr>
          </w:p>
        </w:tc>
        <w:tc>
          <w:tcPr>
            <w:tcW w:w="8460" w:type="dxa"/>
            <w:gridSpan w:val="2"/>
            <w:tcBorders>
              <w:top w:val="single" w:sz="4" w:space="0" w:color="auto"/>
              <w:left w:val="single" w:sz="12" w:space="0" w:color="auto"/>
              <w:bottom w:val="single" w:sz="4" w:space="0" w:color="auto"/>
              <w:right w:val="single" w:sz="12" w:space="0" w:color="auto"/>
            </w:tcBorders>
          </w:tcPr>
          <w:p w:rsidR="00A1044D" w:rsidRPr="00E34757" w:rsidRDefault="00A1044D" w:rsidP="00485D31">
            <w:pPr>
              <w:pStyle w:val="Akapitzlist"/>
              <w:numPr>
                <w:ilvl w:val="0"/>
                <w:numId w:val="1"/>
              </w:numPr>
              <w:ind w:left="433"/>
              <w:jc w:val="both"/>
              <w:rPr>
                <w:rFonts w:ascii="Times New Roman" w:hAnsi="Times New Roman" w:cs="Times New Roman"/>
              </w:rPr>
            </w:pPr>
            <w:r w:rsidRPr="00E34757">
              <w:rPr>
                <w:rFonts w:ascii="Times New Roman" w:hAnsi="Times New Roman" w:cs="Times New Roman"/>
              </w:rPr>
              <w:t>Kopia umowy o świadczenie usług publicznych, której podmiot wnioskujący</w:t>
            </w:r>
            <w:r w:rsidRPr="00E34757">
              <w:rPr>
                <w:rFonts w:ascii="Times New Roman" w:hAnsi="Times New Roman" w:cs="Times New Roman"/>
              </w:rPr>
              <w:br/>
              <w:t>o przeprowadzenie badania równowagi ekonomicznej jest stroną, w wersji niezawierającej szczególnie chronionych informacji handlowych (zgodność z uzasadnieniem wyłączenia jawności wskazanych informacji wskazanych w</w:t>
            </w:r>
            <w:r w:rsidR="00485D31" w:rsidRPr="00E34757">
              <w:rPr>
                <w:rFonts w:ascii="Times New Roman" w:hAnsi="Times New Roman" w:cs="Times New Roman"/>
              </w:rPr>
              <w:t> </w:t>
            </w:r>
            <w:r w:rsidRPr="00E34757">
              <w:rPr>
                <w:rFonts w:ascii="Times New Roman" w:hAnsi="Times New Roman" w:cs="Times New Roman"/>
              </w:rPr>
              <w:t>punkcie powyżej), tzw. wersja jawna.</w:t>
            </w:r>
          </w:p>
        </w:tc>
      </w:tr>
      <w:tr w:rsidR="00A1044D" w:rsidRPr="00E34757" w:rsidTr="00E7303D">
        <w:trPr>
          <w:trHeight w:val="500"/>
        </w:trPr>
        <w:tc>
          <w:tcPr>
            <w:tcW w:w="612" w:type="dxa"/>
            <w:vMerge/>
            <w:tcBorders>
              <w:left w:val="single" w:sz="12" w:space="0" w:color="auto"/>
              <w:right w:val="single" w:sz="12" w:space="0" w:color="auto"/>
            </w:tcBorders>
            <w:shd w:val="clear" w:color="auto" w:fill="D9D9D9" w:themeFill="background1" w:themeFillShade="D9"/>
            <w:vAlign w:val="center"/>
          </w:tcPr>
          <w:p w:rsidR="00A1044D" w:rsidRPr="00E34757" w:rsidRDefault="00A1044D" w:rsidP="00A1044D">
            <w:pPr>
              <w:rPr>
                <w:rFonts w:ascii="Times New Roman" w:hAnsi="Times New Roman" w:cs="Times New Roman"/>
                <w:b/>
              </w:rPr>
            </w:pPr>
          </w:p>
        </w:tc>
        <w:tc>
          <w:tcPr>
            <w:tcW w:w="8460" w:type="dxa"/>
            <w:gridSpan w:val="2"/>
            <w:shd w:val="clear" w:color="auto" w:fill="FFFFFF" w:themeFill="background1"/>
          </w:tcPr>
          <w:p w:rsidR="00A1044D" w:rsidRPr="00E34757" w:rsidRDefault="00A1044D" w:rsidP="00A1044D">
            <w:pPr>
              <w:pStyle w:val="Akapitzlist"/>
              <w:numPr>
                <w:ilvl w:val="0"/>
                <w:numId w:val="1"/>
              </w:numPr>
              <w:spacing w:before="120" w:after="120"/>
              <w:ind w:left="433"/>
              <w:jc w:val="both"/>
              <w:rPr>
                <w:rFonts w:ascii="Times New Roman" w:hAnsi="Times New Roman" w:cs="Times New Roman"/>
                <w:color w:val="0D0D0D" w:themeColor="text1" w:themeTint="F2"/>
              </w:rPr>
            </w:pPr>
            <w:r w:rsidRPr="00E34757">
              <w:rPr>
                <w:rFonts w:ascii="Times New Roman" w:hAnsi="Times New Roman" w:cs="Times New Roman"/>
                <w:color w:val="0D0D0D" w:themeColor="text1" w:themeTint="F2"/>
              </w:rPr>
              <w:t>W przypadku występowania w postępowaniu pełnomocnika reprezentującego podmiot uprawniony, dokument pełnomocnictwa potwierdzający umocowanie osoby występującej w postępowaniu w imieniu tego podmiotu.</w:t>
            </w:r>
          </w:p>
        </w:tc>
      </w:tr>
      <w:tr w:rsidR="00A1044D" w:rsidRPr="00E34757" w:rsidTr="00E7303D">
        <w:trPr>
          <w:trHeight w:val="500"/>
        </w:trPr>
        <w:tc>
          <w:tcPr>
            <w:tcW w:w="612" w:type="dxa"/>
            <w:vMerge/>
            <w:tcBorders>
              <w:left w:val="single" w:sz="12" w:space="0" w:color="auto"/>
              <w:right w:val="single" w:sz="12" w:space="0" w:color="auto"/>
            </w:tcBorders>
            <w:shd w:val="clear" w:color="auto" w:fill="D9D9D9" w:themeFill="background1" w:themeFillShade="D9"/>
            <w:vAlign w:val="center"/>
          </w:tcPr>
          <w:p w:rsidR="00A1044D" w:rsidRPr="00E34757" w:rsidRDefault="00A1044D" w:rsidP="00A1044D">
            <w:pPr>
              <w:rPr>
                <w:rFonts w:ascii="Times New Roman" w:hAnsi="Times New Roman" w:cs="Times New Roman"/>
                <w:b/>
              </w:rPr>
            </w:pPr>
          </w:p>
        </w:tc>
        <w:tc>
          <w:tcPr>
            <w:tcW w:w="8460" w:type="dxa"/>
            <w:gridSpan w:val="2"/>
            <w:shd w:val="clear" w:color="auto" w:fill="FFFFFF" w:themeFill="background1"/>
          </w:tcPr>
          <w:p w:rsidR="00A1044D" w:rsidRPr="00E34757" w:rsidRDefault="00A1044D" w:rsidP="00A1044D">
            <w:pPr>
              <w:pStyle w:val="Akapitzlist"/>
              <w:numPr>
                <w:ilvl w:val="0"/>
                <w:numId w:val="1"/>
              </w:numPr>
              <w:spacing w:before="120" w:after="120"/>
              <w:ind w:left="433"/>
              <w:jc w:val="both"/>
              <w:rPr>
                <w:rFonts w:ascii="Times New Roman" w:hAnsi="Times New Roman" w:cs="Times New Roman"/>
                <w:color w:val="0D0D0D" w:themeColor="text1" w:themeTint="F2"/>
              </w:rPr>
            </w:pPr>
            <w:r w:rsidRPr="00E34757">
              <w:rPr>
                <w:rFonts w:ascii="Times New Roman" w:hAnsi="Times New Roman" w:cs="Times New Roman"/>
                <w:color w:val="0D0D0D" w:themeColor="text1" w:themeTint="F2"/>
              </w:rPr>
              <w:t>W przypadku złożenia dokumentu pełnomocnictwa, dowód uiszczenia opłaty skarbowej z tytułu złożenia dokumentu pełnomocnictwa do akt sprawy (17 zł)</w:t>
            </w:r>
            <w:r w:rsidR="00E34757">
              <w:rPr>
                <w:rFonts w:ascii="Times New Roman" w:hAnsi="Times New Roman" w:cs="Times New Roman"/>
                <w:color w:val="0D0D0D" w:themeColor="text1" w:themeTint="F2"/>
              </w:rPr>
              <w:t xml:space="preserve"> </w:t>
            </w:r>
            <w:r w:rsidR="00E34757" w:rsidRPr="00EC578B">
              <w:rPr>
                <w:rFonts w:ascii="Times New Roman" w:hAnsi="Times New Roman" w:cs="Times New Roman"/>
                <w:color w:val="0D0D0D" w:themeColor="text1" w:themeTint="F2"/>
              </w:rPr>
              <w:t>na rachunek bankowy Centrum Obsługi Podatnika Urzędu m.st. Warszawy: 21 1030 1508 0000 0005 5000 0070 (tytuł przelewu:</w:t>
            </w:r>
            <w:r w:rsidR="00E34757" w:rsidRPr="00EC578B">
              <w:rPr>
                <w:rFonts w:ascii="Times New Roman" w:hAnsi="Times New Roman" w:cs="Times New Roman"/>
                <w:i/>
                <w:color w:val="0D0D0D" w:themeColor="text1" w:themeTint="F2"/>
              </w:rPr>
              <w:t xml:space="preserve"> &lt;nazwa podmiotu&gt;; opłata za pełnomocnictwo</w:t>
            </w:r>
            <w:r w:rsidR="00E34757">
              <w:rPr>
                <w:rFonts w:ascii="Times New Roman" w:hAnsi="Times New Roman" w:cs="Times New Roman"/>
                <w:color w:val="0D0D0D" w:themeColor="text1" w:themeTint="F2"/>
              </w:rPr>
              <w:t>)</w:t>
            </w:r>
            <w:r w:rsidRPr="00E34757">
              <w:rPr>
                <w:rFonts w:ascii="Times New Roman" w:hAnsi="Times New Roman" w:cs="Times New Roman"/>
                <w:color w:val="0D0D0D" w:themeColor="text1" w:themeTint="F2"/>
              </w:rPr>
              <w:t>.</w:t>
            </w:r>
          </w:p>
        </w:tc>
      </w:tr>
    </w:tbl>
    <w:p w:rsidR="00D16446" w:rsidRDefault="00D16446" w:rsidP="007D76DA">
      <w:pPr>
        <w:jc w:val="both"/>
        <w:rPr>
          <w:rFonts w:ascii="Times New Roman" w:hAnsi="Times New Roman" w:cs="Times New Roman"/>
          <w:sz w:val="24"/>
          <w:szCs w:val="24"/>
        </w:rPr>
      </w:pPr>
    </w:p>
    <w:p w:rsidR="00CE732F" w:rsidRPr="003E035D" w:rsidRDefault="00CE732F" w:rsidP="00D93065">
      <w:pPr>
        <w:spacing w:after="120"/>
        <w:rPr>
          <w:rFonts w:ascii="Times New Roman" w:hAnsi="Times New Roman" w:cs="Times New Roman"/>
          <w:b/>
          <w:sz w:val="20"/>
          <w:szCs w:val="20"/>
          <w:u w:val="single"/>
        </w:rPr>
      </w:pPr>
      <w:r w:rsidRPr="003E035D">
        <w:rPr>
          <w:rFonts w:ascii="Times New Roman" w:hAnsi="Times New Roman" w:cs="Times New Roman"/>
          <w:b/>
          <w:sz w:val="20"/>
          <w:szCs w:val="20"/>
          <w:u w:val="single"/>
        </w:rPr>
        <w:t>Pouczenie:</w:t>
      </w:r>
    </w:p>
    <w:p w:rsidR="00485D31" w:rsidRDefault="009D6F99" w:rsidP="00D93065">
      <w:pPr>
        <w:spacing w:after="120"/>
        <w:jc w:val="both"/>
        <w:rPr>
          <w:rFonts w:ascii="Times New Roman" w:hAnsi="Times New Roman" w:cs="Times New Roman"/>
          <w:sz w:val="20"/>
          <w:szCs w:val="20"/>
        </w:rPr>
      </w:pPr>
      <w:r w:rsidRPr="003E035D">
        <w:rPr>
          <w:rFonts w:ascii="Times New Roman" w:hAnsi="Times New Roman" w:cs="Times New Roman"/>
          <w:sz w:val="20"/>
          <w:szCs w:val="20"/>
        </w:rPr>
        <w:t>Każdy wniosek o przeprowadzenie badania równowagi ekonomicznej składany jest do organu regulacyjnego przez podmioty, o których mowa w</w:t>
      </w:r>
      <w:r w:rsidR="00485D31">
        <w:rPr>
          <w:rFonts w:ascii="Times New Roman" w:hAnsi="Times New Roman" w:cs="Times New Roman"/>
          <w:sz w:val="20"/>
          <w:szCs w:val="20"/>
        </w:rPr>
        <w:t xml:space="preserve"> art. 11 ust. 2 akapit pierwszy</w:t>
      </w:r>
      <w:r w:rsidR="00033D29" w:rsidRPr="00033D29">
        <w:rPr>
          <w:rFonts w:ascii="Times New Roman" w:hAnsi="Times New Roman" w:cs="Times New Roman"/>
          <w:sz w:val="20"/>
          <w:szCs w:val="20"/>
        </w:rPr>
        <w:t xml:space="preserve"> </w:t>
      </w:r>
      <w:r w:rsidR="00033D29" w:rsidRPr="00EE2BC2">
        <w:rPr>
          <w:rFonts w:ascii="Times New Roman" w:hAnsi="Times New Roman" w:cs="Times New Roman"/>
          <w:sz w:val="20"/>
          <w:szCs w:val="20"/>
        </w:rPr>
        <w:t xml:space="preserve">dyrektywy </w:t>
      </w:r>
      <w:r w:rsidR="00033D29" w:rsidRPr="001B362E">
        <w:rPr>
          <w:rFonts w:ascii="Times New Roman" w:hAnsi="Times New Roman" w:cs="Times New Roman"/>
          <w:sz w:val="20"/>
          <w:szCs w:val="20"/>
        </w:rPr>
        <w:t>Parlamentu Europejskiego i</w:t>
      </w:r>
      <w:r w:rsidR="00033D29">
        <w:rPr>
          <w:rFonts w:ascii="Times New Roman" w:hAnsi="Times New Roman" w:cs="Times New Roman"/>
          <w:sz w:val="20"/>
          <w:szCs w:val="20"/>
        </w:rPr>
        <w:t> </w:t>
      </w:r>
      <w:r w:rsidR="00033D29" w:rsidRPr="001B362E">
        <w:rPr>
          <w:rFonts w:ascii="Times New Roman" w:hAnsi="Times New Roman" w:cs="Times New Roman"/>
          <w:sz w:val="20"/>
          <w:szCs w:val="20"/>
        </w:rPr>
        <w:t>Rady 2012/34/UE z dnia 21 listopada 2012 r. w</w:t>
      </w:r>
      <w:r w:rsidR="00033D29">
        <w:rPr>
          <w:rFonts w:ascii="Times New Roman" w:hAnsi="Times New Roman" w:cs="Times New Roman"/>
          <w:sz w:val="20"/>
          <w:szCs w:val="20"/>
        </w:rPr>
        <w:t> </w:t>
      </w:r>
      <w:r w:rsidR="00033D29" w:rsidRPr="001B362E">
        <w:rPr>
          <w:rFonts w:ascii="Times New Roman" w:hAnsi="Times New Roman" w:cs="Times New Roman"/>
          <w:sz w:val="20"/>
          <w:szCs w:val="20"/>
        </w:rPr>
        <w:t>sprawie utworzenia jednolitego eu</w:t>
      </w:r>
      <w:r w:rsidR="00033D29">
        <w:rPr>
          <w:rFonts w:ascii="Times New Roman" w:hAnsi="Times New Roman" w:cs="Times New Roman"/>
          <w:sz w:val="20"/>
          <w:szCs w:val="20"/>
        </w:rPr>
        <w:t>ropejskiego obszaru kolejowego (Dz. </w:t>
      </w:r>
      <w:r w:rsidR="00033D29" w:rsidRPr="001B362E">
        <w:rPr>
          <w:rFonts w:ascii="Times New Roman" w:hAnsi="Times New Roman" w:cs="Times New Roman"/>
          <w:sz w:val="20"/>
          <w:szCs w:val="20"/>
        </w:rPr>
        <w:t>Urz</w:t>
      </w:r>
      <w:r w:rsidR="00033D29">
        <w:rPr>
          <w:rFonts w:ascii="Times New Roman" w:hAnsi="Times New Roman" w:cs="Times New Roman"/>
          <w:sz w:val="20"/>
          <w:szCs w:val="20"/>
        </w:rPr>
        <w:t>. UE L 343 z 14 grudnia 2012 r.</w:t>
      </w:r>
      <w:r w:rsidR="00033D29" w:rsidRPr="001B362E">
        <w:rPr>
          <w:rFonts w:ascii="Times New Roman" w:hAnsi="Times New Roman" w:cs="Times New Roman"/>
          <w:sz w:val="20"/>
          <w:szCs w:val="20"/>
        </w:rPr>
        <w:t xml:space="preserve"> str. 32)</w:t>
      </w:r>
      <w:r w:rsidR="00033D29">
        <w:rPr>
          <w:rFonts w:ascii="Times New Roman" w:hAnsi="Times New Roman" w:cs="Times New Roman"/>
          <w:sz w:val="20"/>
          <w:szCs w:val="20"/>
        </w:rPr>
        <w:t xml:space="preserve"> zmienionej </w:t>
      </w:r>
      <w:r w:rsidR="00033D29" w:rsidRPr="00CF57D9">
        <w:rPr>
          <w:rFonts w:ascii="Times New Roman" w:hAnsi="Times New Roman" w:cs="Times New Roman"/>
          <w:sz w:val="20"/>
          <w:szCs w:val="20"/>
        </w:rPr>
        <w:t>dyrektyw</w:t>
      </w:r>
      <w:r w:rsidR="00033D29">
        <w:rPr>
          <w:rFonts w:ascii="Times New Roman" w:hAnsi="Times New Roman" w:cs="Times New Roman"/>
          <w:sz w:val="20"/>
          <w:szCs w:val="20"/>
        </w:rPr>
        <w:t>ą</w:t>
      </w:r>
      <w:r w:rsidR="00033D29" w:rsidRPr="00CF57D9">
        <w:rPr>
          <w:rFonts w:ascii="Times New Roman" w:hAnsi="Times New Roman" w:cs="Times New Roman"/>
          <w:sz w:val="20"/>
          <w:szCs w:val="20"/>
        </w:rPr>
        <w:t xml:space="preserve"> Parlamentu Europejskiego i Rady</w:t>
      </w:r>
      <w:r w:rsidR="00033D29">
        <w:rPr>
          <w:rFonts w:ascii="Times New Roman" w:hAnsi="Times New Roman" w:cs="Times New Roman"/>
          <w:sz w:val="20"/>
          <w:szCs w:val="20"/>
        </w:rPr>
        <w:t> </w:t>
      </w:r>
      <w:r w:rsidR="00033D29" w:rsidRPr="00CF57D9">
        <w:rPr>
          <w:rFonts w:ascii="Times New Roman" w:hAnsi="Times New Roman" w:cs="Times New Roman"/>
          <w:sz w:val="20"/>
          <w:szCs w:val="20"/>
        </w:rPr>
        <w:t>(UE) 2016/2370 z dnia 14 grudnia 2016 r. zmieniając</w:t>
      </w:r>
      <w:r w:rsidR="00033D29">
        <w:rPr>
          <w:rFonts w:ascii="Times New Roman" w:hAnsi="Times New Roman" w:cs="Times New Roman"/>
          <w:sz w:val="20"/>
          <w:szCs w:val="20"/>
        </w:rPr>
        <w:t>ą</w:t>
      </w:r>
      <w:r w:rsidR="00033D29" w:rsidRPr="00CF57D9">
        <w:rPr>
          <w:rFonts w:ascii="Times New Roman" w:hAnsi="Times New Roman" w:cs="Times New Roman"/>
          <w:sz w:val="20"/>
          <w:szCs w:val="20"/>
        </w:rPr>
        <w:t xml:space="preserve"> dyrektywę 2012/34/UE w</w:t>
      </w:r>
      <w:r w:rsidR="00033D29">
        <w:rPr>
          <w:rFonts w:ascii="Times New Roman" w:hAnsi="Times New Roman" w:cs="Times New Roman"/>
          <w:sz w:val="20"/>
          <w:szCs w:val="20"/>
        </w:rPr>
        <w:t> </w:t>
      </w:r>
      <w:r w:rsidR="00033D29" w:rsidRPr="00CF57D9">
        <w:rPr>
          <w:rFonts w:ascii="Times New Roman" w:hAnsi="Times New Roman" w:cs="Times New Roman"/>
          <w:sz w:val="20"/>
          <w:szCs w:val="20"/>
        </w:rPr>
        <w:t>odniesieniu do otwarcia rynku krajowych kolejowych przewozów pasażerskich oraz zarzą</w:t>
      </w:r>
      <w:r w:rsidR="00033D29">
        <w:rPr>
          <w:rFonts w:ascii="Times New Roman" w:hAnsi="Times New Roman" w:cs="Times New Roman"/>
          <w:sz w:val="20"/>
          <w:szCs w:val="20"/>
        </w:rPr>
        <w:t>dzania infrastrukturą kolejową (Dz. Urz. UE L 352 z </w:t>
      </w:r>
      <w:r w:rsidR="00033D29" w:rsidRPr="00CF57D9">
        <w:rPr>
          <w:rFonts w:ascii="Times New Roman" w:hAnsi="Times New Roman" w:cs="Times New Roman"/>
          <w:sz w:val="20"/>
          <w:szCs w:val="20"/>
        </w:rPr>
        <w:t>2</w:t>
      </w:r>
      <w:r w:rsidR="00033D29">
        <w:rPr>
          <w:rFonts w:ascii="Times New Roman" w:hAnsi="Times New Roman" w:cs="Times New Roman"/>
          <w:sz w:val="20"/>
          <w:szCs w:val="20"/>
        </w:rPr>
        <w:t>3 grudnia 2016 r.</w:t>
      </w:r>
      <w:r w:rsidR="00033D29" w:rsidRPr="00CF57D9">
        <w:rPr>
          <w:rFonts w:ascii="Times New Roman" w:hAnsi="Times New Roman" w:cs="Times New Roman"/>
          <w:sz w:val="20"/>
          <w:szCs w:val="20"/>
        </w:rPr>
        <w:t xml:space="preserve"> str. 1)</w:t>
      </w:r>
      <w:r w:rsidR="00033D29">
        <w:rPr>
          <w:rFonts w:ascii="Times New Roman" w:hAnsi="Times New Roman" w:cs="Times New Roman"/>
          <w:sz w:val="20"/>
          <w:szCs w:val="20"/>
        </w:rPr>
        <w:t>, w terminie wyznaczonym w </w:t>
      </w:r>
      <w:r w:rsidR="00033D29" w:rsidRPr="00EE2BC2">
        <w:rPr>
          <w:rFonts w:ascii="Times New Roman" w:hAnsi="Times New Roman" w:cs="Times New Roman"/>
          <w:sz w:val="20"/>
          <w:szCs w:val="20"/>
        </w:rPr>
        <w:t>tym przepisie.</w:t>
      </w:r>
    </w:p>
    <w:p w:rsidR="009D6F99" w:rsidRPr="003E035D" w:rsidRDefault="009D6F99" w:rsidP="00D93065">
      <w:pPr>
        <w:spacing w:after="120"/>
        <w:jc w:val="both"/>
        <w:rPr>
          <w:rFonts w:ascii="Times New Roman" w:hAnsi="Times New Roman" w:cs="Times New Roman"/>
          <w:sz w:val="20"/>
          <w:szCs w:val="20"/>
        </w:rPr>
      </w:pPr>
      <w:r w:rsidRPr="003E035D">
        <w:rPr>
          <w:rFonts w:ascii="Times New Roman" w:hAnsi="Times New Roman" w:cs="Times New Roman"/>
          <w:sz w:val="20"/>
          <w:szCs w:val="20"/>
        </w:rPr>
        <w:t xml:space="preserve">Jeżeli w terminie określonym w </w:t>
      </w:r>
      <w:r w:rsidR="00FE3AA9">
        <w:rPr>
          <w:rFonts w:ascii="Times New Roman" w:hAnsi="Times New Roman" w:cs="Times New Roman"/>
          <w:sz w:val="20"/>
          <w:szCs w:val="20"/>
        </w:rPr>
        <w:t xml:space="preserve">art. 9 </w:t>
      </w:r>
      <w:r w:rsidRPr="003E035D">
        <w:rPr>
          <w:rFonts w:ascii="Times New Roman" w:hAnsi="Times New Roman" w:cs="Times New Roman"/>
          <w:sz w:val="20"/>
          <w:szCs w:val="20"/>
        </w:rPr>
        <w:t>ust. 1</w:t>
      </w:r>
      <w:r w:rsidR="00FE3AA9" w:rsidRPr="00FE3AA9">
        <w:rPr>
          <w:rFonts w:ascii="Times New Roman" w:hAnsi="Times New Roman" w:cs="Times New Roman"/>
          <w:sz w:val="20"/>
          <w:szCs w:val="20"/>
        </w:rPr>
        <w:t xml:space="preserve"> rozporządzenia 2018/1795</w:t>
      </w:r>
      <w:r w:rsidRPr="003E035D">
        <w:rPr>
          <w:rFonts w:ascii="Times New Roman" w:hAnsi="Times New Roman" w:cs="Times New Roman"/>
          <w:sz w:val="20"/>
          <w:szCs w:val="20"/>
        </w:rPr>
        <w:t xml:space="preserve"> nie z</w:t>
      </w:r>
      <w:r w:rsidR="00FE3AA9">
        <w:rPr>
          <w:rFonts w:ascii="Times New Roman" w:hAnsi="Times New Roman" w:cs="Times New Roman"/>
          <w:sz w:val="20"/>
          <w:szCs w:val="20"/>
        </w:rPr>
        <w:t>ostanie złożony żaden wniosek o </w:t>
      </w:r>
      <w:r w:rsidRPr="003E035D">
        <w:rPr>
          <w:rFonts w:ascii="Times New Roman" w:hAnsi="Times New Roman" w:cs="Times New Roman"/>
          <w:sz w:val="20"/>
          <w:szCs w:val="20"/>
        </w:rPr>
        <w:t>przeprowadzenie badania równowagi ekonomicznej, organ regulacyjny niezwłocznie informuje wnioskodawcę i</w:t>
      </w:r>
      <w:r w:rsidR="00FE3AA9">
        <w:rPr>
          <w:rFonts w:ascii="Times New Roman" w:hAnsi="Times New Roman" w:cs="Times New Roman"/>
          <w:sz w:val="20"/>
          <w:szCs w:val="20"/>
        </w:rPr>
        <w:t> </w:t>
      </w:r>
      <w:r w:rsidRPr="003E035D">
        <w:rPr>
          <w:rFonts w:ascii="Times New Roman" w:hAnsi="Times New Roman" w:cs="Times New Roman"/>
          <w:sz w:val="20"/>
          <w:szCs w:val="20"/>
        </w:rPr>
        <w:t>zarządcę infrastruktury.</w:t>
      </w:r>
    </w:p>
    <w:p w:rsidR="00D93065" w:rsidRPr="003E035D" w:rsidRDefault="00CE732F" w:rsidP="00D93065">
      <w:pPr>
        <w:spacing w:after="120"/>
        <w:jc w:val="both"/>
        <w:rPr>
          <w:rFonts w:ascii="Times New Roman" w:hAnsi="Times New Roman" w:cs="Times New Roman"/>
          <w:sz w:val="20"/>
          <w:szCs w:val="20"/>
        </w:rPr>
      </w:pPr>
      <w:r w:rsidRPr="003E035D">
        <w:rPr>
          <w:rFonts w:ascii="Times New Roman" w:hAnsi="Times New Roman" w:cs="Times New Roman"/>
          <w:sz w:val="20"/>
          <w:szCs w:val="20"/>
        </w:rPr>
        <w:t>Przedmiotowy formularz i wszystkie dokumenty do niego dołączone powinny być wniesione do</w:t>
      </w:r>
      <w:r w:rsidR="000D57CA">
        <w:rPr>
          <w:rFonts w:ascii="Times New Roman" w:hAnsi="Times New Roman" w:cs="Times New Roman"/>
          <w:sz w:val="20"/>
          <w:szCs w:val="20"/>
        </w:rPr>
        <w:t> </w:t>
      </w:r>
      <w:r w:rsidRPr="003E035D">
        <w:rPr>
          <w:rFonts w:ascii="Times New Roman" w:hAnsi="Times New Roman" w:cs="Times New Roman"/>
          <w:sz w:val="20"/>
          <w:szCs w:val="20"/>
        </w:rPr>
        <w:t>Prezesa</w:t>
      </w:r>
      <w:r w:rsidR="000D57CA">
        <w:rPr>
          <w:rFonts w:ascii="Times New Roman" w:hAnsi="Times New Roman" w:cs="Times New Roman"/>
          <w:sz w:val="20"/>
          <w:szCs w:val="20"/>
        </w:rPr>
        <w:t> </w:t>
      </w:r>
      <w:r w:rsidRPr="003E035D">
        <w:rPr>
          <w:rFonts w:ascii="Times New Roman" w:hAnsi="Times New Roman" w:cs="Times New Roman"/>
          <w:sz w:val="20"/>
          <w:szCs w:val="20"/>
        </w:rPr>
        <w:t>UTK drogą elektroniczną i być opatrzone kwalifikowanym podpisem elektronicznym albo podpisem potwierdzonym profilem zaufanym ePUAP.</w:t>
      </w:r>
    </w:p>
    <w:p w:rsidR="00D93065" w:rsidRPr="003E035D" w:rsidRDefault="00D93065" w:rsidP="003E035D">
      <w:pPr>
        <w:spacing w:after="120" w:line="240" w:lineRule="auto"/>
        <w:jc w:val="both"/>
        <w:rPr>
          <w:rFonts w:ascii="Times New Roman" w:hAnsi="Times New Roman" w:cs="Times New Roman"/>
          <w:sz w:val="20"/>
          <w:szCs w:val="20"/>
        </w:rPr>
      </w:pPr>
      <w:r w:rsidRPr="003E035D">
        <w:rPr>
          <w:rFonts w:ascii="Times New Roman" w:hAnsi="Times New Roman" w:cs="Times New Roman"/>
          <w:sz w:val="20"/>
          <w:szCs w:val="20"/>
        </w:rPr>
        <w:t>Prezes UTK może jednak</w:t>
      </w:r>
      <w:r w:rsidR="00DA60BA">
        <w:rPr>
          <w:rFonts w:ascii="Times New Roman" w:hAnsi="Times New Roman" w:cs="Times New Roman"/>
          <w:sz w:val="20"/>
          <w:szCs w:val="20"/>
        </w:rPr>
        <w:t>,</w:t>
      </w:r>
      <w:r w:rsidRPr="003E035D">
        <w:rPr>
          <w:rFonts w:ascii="Times New Roman" w:hAnsi="Times New Roman" w:cs="Times New Roman"/>
          <w:sz w:val="20"/>
          <w:szCs w:val="20"/>
        </w:rPr>
        <w:t xml:space="preserve"> w należycie uzasadnionych przypadkach</w:t>
      </w:r>
      <w:r w:rsidR="00DA60BA">
        <w:rPr>
          <w:rFonts w:ascii="Times New Roman" w:hAnsi="Times New Roman" w:cs="Times New Roman"/>
          <w:sz w:val="20"/>
          <w:szCs w:val="20"/>
        </w:rPr>
        <w:t>,</w:t>
      </w:r>
      <w:r w:rsidRPr="003E035D">
        <w:rPr>
          <w:rFonts w:ascii="Times New Roman" w:hAnsi="Times New Roman" w:cs="Times New Roman"/>
          <w:sz w:val="20"/>
          <w:szCs w:val="20"/>
        </w:rPr>
        <w:t xml:space="preserve"> zgodzić się, by dokumenty zostały zł</w:t>
      </w:r>
      <w:r w:rsidR="003E035D">
        <w:rPr>
          <w:rFonts w:ascii="Times New Roman" w:hAnsi="Times New Roman" w:cs="Times New Roman"/>
          <w:sz w:val="20"/>
          <w:szCs w:val="20"/>
        </w:rPr>
        <w:t>ożone w </w:t>
      </w:r>
      <w:r w:rsidRPr="003E035D">
        <w:rPr>
          <w:rFonts w:ascii="Times New Roman" w:hAnsi="Times New Roman" w:cs="Times New Roman"/>
          <w:sz w:val="20"/>
          <w:szCs w:val="20"/>
        </w:rPr>
        <w:t>formie papierowej.</w:t>
      </w:r>
    </w:p>
    <w:p w:rsidR="00D93065" w:rsidRPr="003E035D" w:rsidRDefault="00D93065" w:rsidP="003E035D">
      <w:pPr>
        <w:spacing w:after="120" w:line="240" w:lineRule="auto"/>
        <w:jc w:val="both"/>
        <w:rPr>
          <w:rFonts w:ascii="Times New Roman" w:hAnsi="Times New Roman" w:cs="Times New Roman"/>
          <w:sz w:val="20"/>
          <w:szCs w:val="20"/>
        </w:rPr>
      </w:pPr>
      <w:r w:rsidRPr="003E035D">
        <w:rPr>
          <w:rFonts w:ascii="Times New Roman" w:hAnsi="Times New Roman" w:cs="Times New Roman"/>
          <w:sz w:val="20"/>
          <w:szCs w:val="20"/>
        </w:rPr>
        <w:t xml:space="preserve">Podmiot wnioskujący o przeprowadzenie badania równowagi ekonomicznej jest obowiązany przekazać informację o tym, które dane stanowią tajemnicę szczególnie chronioną i z tego względu nie powinny być udostępniane innym podmiotom. </w:t>
      </w:r>
    </w:p>
    <w:p w:rsidR="00D93065" w:rsidRPr="003E035D" w:rsidRDefault="00D93065" w:rsidP="003E035D">
      <w:pPr>
        <w:spacing w:after="120" w:line="240" w:lineRule="auto"/>
        <w:jc w:val="both"/>
        <w:rPr>
          <w:rFonts w:ascii="Times New Roman" w:hAnsi="Times New Roman" w:cs="Times New Roman"/>
          <w:sz w:val="20"/>
          <w:szCs w:val="20"/>
        </w:rPr>
      </w:pPr>
      <w:r w:rsidRPr="003E035D">
        <w:rPr>
          <w:rFonts w:ascii="Times New Roman" w:hAnsi="Times New Roman" w:cs="Times New Roman"/>
          <w:sz w:val="20"/>
          <w:szCs w:val="20"/>
        </w:rPr>
        <w:t>Jeżeli Prezes UTK stwierdzi, że nie można przyjąć podanych przez wnioskodawcę powodów zachowania poufności, informuje o tym stronę wnioskującą o przeprowadzenie b</w:t>
      </w:r>
      <w:r w:rsidR="003E035D">
        <w:rPr>
          <w:rFonts w:ascii="Times New Roman" w:hAnsi="Times New Roman" w:cs="Times New Roman"/>
          <w:sz w:val="20"/>
          <w:szCs w:val="20"/>
        </w:rPr>
        <w:t>adania równowagi ekonomicznej i </w:t>
      </w:r>
      <w:r w:rsidRPr="003E035D">
        <w:rPr>
          <w:rFonts w:ascii="Times New Roman" w:hAnsi="Times New Roman" w:cs="Times New Roman"/>
          <w:sz w:val="20"/>
          <w:szCs w:val="20"/>
        </w:rPr>
        <w:t>uzasadnia na piśmie swoje stanowisko.</w:t>
      </w:r>
    </w:p>
    <w:p w:rsidR="009D6F99" w:rsidRPr="003E035D" w:rsidRDefault="009D6F99" w:rsidP="003E035D">
      <w:pPr>
        <w:spacing w:after="120" w:line="240" w:lineRule="auto"/>
        <w:jc w:val="both"/>
        <w:rPr>
          <w:rFonts w:ascii="Times New Roman" w:hAnsi="Times New Roman" w:cs="Times New Roman"/>
          <w:sz w:val="20"/>
          <w:szCs w:val="20"/>
        </w:rPr>
      </w:pPr>
      <w:r w:rsidRPr="003E035D">
        <w:rPr>
          <w:rFonts w:ascii="Times New Roman" w:hAnsi="Times New Roman" w:cs="Times New Roman"/>
          <w:sz w:val="20"/>
          <w:szCs w:val="20"/>
        </w:rPr>
        <w:t>W terminie jednego miesiąca od otrzymania wniosku organ regulacyjny może zażądać</w:t>
      </w:r>
      <w:r w:rsidRPr="003E035D">
        <w:rPr>
          <w:rFonts w:ascii="Times New Roman" w:hAnsi="Times New Roman" w:cs="Times New Roman"/>
          <w:sz w:val="20"/>
          <w:szCs w:val="20"/>
        </w:rPr>
        <w:br/>
        <w:t>od podmiotu występującego z wnioskiem o przeprowadzenie badania równowagi ekonomicznej dostarczenia wszelkich dodatkowych informacji, które uzna za niezbędne.</w:t>
      </w:r>
    </w:p>
    <w:p w:rsidR="00CE732F" w:rsidRPr="003E035D" w:rsidRDefault="009D6F99" w:rsidP="003E035D">
      <w:pPr>
        <w:spacing w:after="120" w:line="240" w:lineRule="auto"/>
        <w:jc w:val="both"/>
        <w:rPr>
          <w:rFonts w:ascii="Times New Roman" w:hAnsi="Times New Roman" w:cs="Times New Roman"/>
          <w:sz w:val="20"/>
          <w:szCs w:val="20"/>
        </w:rPr>
      </w:pPr>
      <w:r w:rsidRPr="003E035D">
        <w:rPr>
          <w:rFonts w:ascii="Times New Roman" w:hAnsi="Times New Roman" w:cs="Times New Roman"/>
          <w:sz w:val="20"/>
          <w:szCs w:val="20"/>
        </w:rPr>
        <w:t>Podmiot występujący z wnioskiem przedstawia takie informacje w rozsądnym terminie wyznaczonym przez organ regulacyjny. Jeżeli organ regulacyjny uzna, że otrzymane dodatkowe informacje nie są wystarczające, może zażądać dalszych informacji.</w:t>
      </w:r>
    </w:p>
    <w:p w:rsidR="00D93065" w:rsidRPr="003E035D" w:rsidRDefault="00D93065" w:rsidP="003E035D">
      <w:pPr>
        <w:pStyle w:val="Akapitzlist"/>
        <w:spacing w:after="120" w:line="240" w:lineRule="auto"/>
        <w:ind w:left="0"/>
        <w:contextualSpacing w:val="0"/>
        <w:jc w:val="both"/>
        <w:rPr>
          <w:rFonts w:ascii="Times New Roman" w:hAnsi="Times New Roman" w:cs="Times New Roman"/>
          <w:b/>
          <w:sz w:val="20"/>
          <w:szCs w:val="20"/>
          <w:u w:val="single"/>
        </w:rPr>
      </w:pPr>
      <w:r w:rsidRPr="003E035D">
        <w:rPr>
          <w:rFonts w:ascii="Times New Roman" w:hAnsi="Times New Roman" w:cs="Times New Roman"/>
          <w:b/>
          <w:sz w:val="20"/>
          <w:szCs w:val="20"/>
          <w:u w:val="single"/>
        </w:rPr>
        <w:t>Podstawa prawna:</w:t>
      </w:r>
    </w:p>
    <w:p w:rsidR="00F5183B" w:rsidRPr="00056019" w:rsidRDefault="00485D31" w:rsidP="00056019">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A</w:t>
      </w:r>
      <w:r w:rsidR="00D93065" w:rsidRPr="00FB5070">
        <w:rPr>
          <w:rFonts w:ascii="Times New Roman" w:hAnsi="Times New Roman" w:cs="Times New Roman"/>
          <w:sz w:val="20"/>
          <w:szCs w:val="20"/>
        </w:rPr>
        <w:t>rt. 7 rozporządzenia 2018/1795</w:t>
      </w:r>
      <w:r>
        <w:rPr>
          <w:rFonts w:ascii="Times New Roman" w:hAnsi="Times New Roman" w:cs="Times New Roman"/>
          <w:sz w:val="20"/>
          <w:szCs w:val="20"/>
        </w:rPr>
        <w:t>.</w:t>
      </w:r>
    </w:p>
    <w:sectPr w:rsidR="00F5183B" w:rsidRPr="00056019" w:rsidSect="003E035D">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E9" w:rsidRDefault="001A08E9" w:rsidP="007D76DA">
      <w:pPr>
        <w:spacing w:after="0" w:line="240" w:lineRule="auto"/>
      </w:pPr>
      <w:r>
        <w:separator/>
      </w:r>
    </w:p>
  </w:endnote>
  <w:endnote w:type="continuationSeparator" w:id="0">
    <w:p w:rsidR="001A08E9" w:rsidRDefault="001A08E9" w:rsidP="007D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E402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E402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E40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E9" w:rsidRDefault="001A08E9" w:rsidP="007D76DA">
      <w:pPr>
        <w:spacing w:after="0" w:line="240" w:lineRule="auto"/>
      </w:pPr>
      <w:r>
        <w:separator/>
      </w:r>
    </w:p>
  </w:footnote>
  <w:footnote w:type="continuationSeparator" w:id="0">
    <w:p w:rsidR="001A08E9" w:rsidRDefault="001A08E9" w:rsidP="007D76DA">
      <w:pPr>
        <w:spacing w:after="0" w:line="240" w:lineRule="auto"/>
      </w:pPr>
      <w:r>
        <w:continuationSeparator/>
      </w:r>
    </w:p>
  </w:footnote>
  <w:footnote w:id="1">
    <w:p w:rsidR="003E035D" w:rsidRPr="00A15825" w:rsidRDefault="003E035D" w:rsidP="00C64DAA">
      <w:pPr>
        <w:spacing w:after="0"/>
        <w:jc w:val="both"/>
        <w:rPr>
          <w:rFonts w:ascii="Times New Roman" w:hAnsi="Times New Roman" w:cs="Times New Roman"/>
          <w:sz w:val="20"/>
          <w:szCs w:val="20"/>
        </w:rPr>
      </w:pPr>
      <w:r w:rsidRPr="00A15825">
        <w:rPr>
          <w:rStyle w:val="Odwoanieprzypisudolnego"/>
          <w:rFonts w:ascii="Times New Roman" w:hAnsi="Times New Roman" w:cs="Times New Roman"/>
          <w:sz w:val="20"/>
          <w:szCs w:val="20"/>
        </w:rPr>
        <w:footnoteRef/>
      </w:r>
      <w:r w:rsidRPr="00A15825">
        <w:rPr>
          <w:rFonts w:ascii="Times New Roman" w:hAnsi="Times New Roman" w:cs="Times New Roman"/>
          <w:sz w:val="20"/>
          <w:szCs w:val="20"/>
        </w:rPr>
        <w:t xml:space="preserve"> Rozporządzenie wykonawcze Komisji (UE) 2018/1795 z dnia 20 listopada 2018 r. ustanawiające procedurę i kryteria do celów stosowania badania równowagi ekonomicznej zgodnie z art. 11 dyrektywy Parlamentu Europejskiego i Rady 2012/34/UE (Dz. Urz. UE L 294 z 21 listopada 2018 r. str. 5</w:t>
      </w:r>
      <w:r w:rsidR="00AE55F6" w:rsidRPr="00A15825">
        <w:rPr>
          <w:rFonts w:ascii="Times New Roman" w:hAnsi="Times New Roman" w:cs="Times New Roman"/>
          <w:sz w:val="20"/>
          <w:szCs w:val="20"/>
        </w:rPr>
        <w:t>), zwane dalej „rozporządzeniem 2018/1795”</w:t>
      </w:r>
    </w:p>
  </w:footnote>
  <w:footnote w:id="2">
    <w:p w:rsidR="00E757FE" w:rsidRPr="00A15825" w:rsidRDefault="005F3B33">
      <w:pPr>
        <w:pStyle w:val="Tekstprzypisudolnego"/>
        <w:rPr>
          <w:rFonts w:ascii="Times New Roman" w:hAnsi="Times New Roman" w:cs="Times New Roman"/>
        </w:rPr>
      </w:pPr>
      <w:r w:rsidRPr="00A15825">
        <w:rPr>
          <w:rStyle w:val="Odwoanieprzypisudolnego"/>
          <w:rFonts w:ascii="Times New Roman" w:hAnsi="Times New Roman" w:cs="Times New Roman"/>
        </w:rPr>
        <w:footnoteRef/>
      </w:r>
      <w:r w:rsidRPr="00A15825">
        <w:rPr>
          <w:rFonts w:ascii="Times New Roman" w:hAnsi="Times New Roman" w:cs="Times New Roman"/>
        </w:rPr>
        <w:t xml:space="preserve"> </w:t>
      </w:r>
      <w:r w:rsidR="00E34757" w:rsidRPr="00733B91">
        <w:rPr>
          <w:rFonts w:ascii="Times New Roman" w:hAnsi="Times New Roman" w:cs="Times New Roman"/>
        </w:rPr>
        <w:t>Należy pamiętać, że osoba kontaktowa nie może być automatycznie rozumiana jako pełnomocnik</w:t>
      </w:r>
      <w:r w:rsidR="00E34757">
        <w:rPr>
          <w:rFonts w:ascii="Times New Roman" w:hAnsi="Times New Roman" w:cs="Times New Roman"/>
        </w:rPr>
        <w:t>.</w:t>
      </w:r>
    </w:p>
  </w:footnote>
  <w:footnote w:id="3">
    <w:p w:rsidR="00CC7D65" w:rsidRPr="00A15825" w:rsidRDefault="00CC7D65" w:rsidP="00C64DAA">
      <w:pPr>
        <w:pStyle w:val="Tekstprzypisudolnego"/>
        <w:jc w:val="both"/>
        <w:rPr>
          <w:rFonts w:ascii="Times New Roman" w:hAnsi="Times New Roman" w:cs="Times New Roman"/>
        </w:rPr>
      </w:pPr>
      <w:r w:rsidRPr="00A15825">
        <w:rPr>
          <w:rStyle w:val="Odwoanieprzypisudolnego"/>
          <w:rFonts w:ascii="Times New Roman" w:hAnsi="Times New Roman" w:cs="Times New Roman"/>
        </w:rPr>
        <w:footnoteRef/>
      </w:r>
      <w:r w:rsidRPr="00A15825">
        <w:rPr>
          <w:rFonts w:ascii="Times New Roman" w:hAnsi="Times New Roman" w:cs="Times New Roman"/>
        </w:rPr>
        <w:t xml:space="preserve"> W tym m.in. wyjaśnienie przyczyn i uzasadnienie zainteresowania przeprowadzeniem badania równowagi ekonomicznej.</w:t>
      </w:r>
    </w:p>
    <w:p w:rsidR="00E962FC" w:rsidRPr="00A15825" w:rsidRDefault="00E962FC" w:rsidP="00C64DAA">
      <w:pPr>
        <w:pStyle w:val="Tekstprzypisudolnego"/>
        <w:jc w:val="both"/>
        <w:rPr>
          <w:rFonts w:ascii="Times New Roman" w:hAnsi="Times New Roman" w:cs="Times New Roman"/>
        </w:rPr>
      </w:pPr>
      <w:r w:rsidRPr="00A15825">
        <w:rPr>
          <w:rFonts w:ascii="Times New Roman" w:hAnsi="Times New Roman" w:cs="Times New Roman"/>
        </w:rPr>
        <w:t>Uważa się, że równowaga ekonomiczna jest zagrożona, jeżeli nowe kolejowe przewozy pasażerskie miałyby istotny negatywny wpływ na co najmniej jeden z następujących elementów:</w:t>
      </w:r>
    </w:p>
    <w:p w:rsidR="00E962FC" w:rsidRPr="00A15825" w:rsidRDefault="00E962FC" w:rsidP="00C64DAA">
      <w:pPr>
        <w:pStyle w:val="Tekstprzypisudolnego"/>
        <w:jc w:val="both"/>
        <w:rPr>
          <w:rFonts w:ascii="Times New Roman" w:hAnsi="Times New Roman" w:cs="Times New Roman"/>
        </w:rPr>
      </w:pPr>
      <w:r w:rsidRPr="00A15825">
        <w:rPr>
          <w:rFonts w:ascii="Times New Roman" w:hAnsi="Times New Roman" w:cs="Times New Roman"/>
        </w:rPr>
        <w:t>a) rentowność usług, które przedsiębiorstwo kolejowe świadczy w ramach umowy o świadczenie usług publicznych;</w:t>
      </w:r>
    </w:p>
    <w:p w:rsidR="00E962FC" w:rsidRPr="00A15825" w:rsidRDefault="00E962FC" w:rsidP="00C64DAA">
      <w:pPr>
        <w:pStyle w:val="Tekstprzypisudolnego"/>
        <w:jc w:val="both"/>
        <w:rPr>
          <w:rFonts w:ascii="Times New Roman" w:hAnsi="Times New Roman" w:cs="Times New Roman"/>
        </w:rPr>
      </w:pPr>
      <w:r w:rsidRPr="00A15825">
        <w:rPr>
          <w:rFonts w:ascii="Times New Roman" w:hAnsi="Times New Roman" w:cs="Times New Roman"/>
        </w:rPr>
        <w:t>b) koszty netto dla właściwego organu, który zawarł umowę o świadczenie usług publicznych.</w:t>
      </w:r>
    </w:p>
    <w:p w:rsidR="00E962FC" w:rsidRPr="003E035D" w:rsidRDefault="00E962FC" w:rsidP="00C64DAA">
      <w:pPr>
        <w:pStyle w:val="Tekstprzypisudolnego"/>
        <w:jc w:val="both"/>
        <w:rPr>
          <w:rFonts w:ascii="Times New Roman" w:hAnsi="Times New Roman" w:cs="Times New Roman"/>
        </w:rPr>
      </w:pPr>
      <w:r w:rsidRPr="00A15825">
        <w:rPr>
          <w:rFonts w:ascii="Times New Roman" w:hAnsi="Times New Roman" w:cs="Times New Roman"/>
        </w:rPr>
        <w:t>Analiza powinna odnosić się do umowy o świadczenie usług publicznych jako całości, a nie do poszczególnych usług wykonywanych na jej podstawie, w całym okresie jej obowiązywania.</w:t>
      </w:r>
    </w:p>
  </w:footnote>
  <w:footnote w:id="4">
    <w:p w:rsidR="00FF0568" w:rsidRPr="003E035D" w:rsidRDefault="00FF0568" w:rsidP="003E035D">
      <w:pPr>
        <w:pStyle w:val="Tekstprzypisudolnego"/>
        <w:jc w:val="both"/>
        <w:rPr>
          <w:rFonts w:ascii="Times New Roman" w:hAnsi="Times New Roman" w:cs="Times New Roman"/>
        </w:rPr>
      </w:pPr>
      <w:r w:rsidRPr="003E035D">
        <w:rPr>
          <w:rStyle w:val="Odwoanieprzypisudolnego"/>
          <w:rFonts w:ascii="Times New Roman" w:hAnsi="Times New Roman" w:cs="Times New Roman"/>
        </w:rPr>
        <w:footnoteRef/>
      </w:r>
      <w:r w:rsidRPr="003E035D">
        <w:rPr>
          <w:rFonts w:ascii="Times New Roman" w:hAnsi="Times New Roman" w:cs="Times New Roman"/>
        </w:rPr>
        <w:t xml:space="preserve"> Przepisy nie wskazują jakiego rodzaje informacje mają stanowić uzasadnienie dla przeprowadzenia badania równowagi ekonomicznej. Przekazanie wskazanych informacji pozwala organowi regulacyjnemu na szybsze</w:t>
      </w:r>
      <w:r w:rsidRPr="003E035D">
        <w:rPr>
          <w:rFonts w:ascii="Times New Roman" w:hAnsi="Times New Roman" w:cs="Times New Roman"/>
        </w:rPr>
        <w:br/>
        <w:t>i sprawniejsze prowadzenie postępowania administracyjnego w przedmiocie wydania decyzji o przyznaniu otwartego dostępu. Niepodanie na początkowym etapie postępowania informacji zawartych w</w:t>
      </w:r>
      <w:r w:rsidR="00E34757">
        <w:rPr>
          <w:rFonts w:ascii="Times New Roman" w:hAnsi="Times New Roman" w:cs="Times New Roman"/>
        </w:rPr>
        <w:t> </w:t>
      </w:r>
      <w:r w:rsidR="00E34757">
        <w:rPr>
          <w:rFonts w:ascii="Times New Roman" w:hAnsi="Times New Roman" w:cs="Times New Roman"/>
        </w:rPr>
        <w:tab/>
      </w:r>
      <w:r w:rsidRPr="003E035D">
        <w:rPr>
          <w:rFonts w:ascii="Times New Roman" w:hAnsi="Times New Roman" w:cs="Times New Roman"/>
        </w:rPr>
        <w:t>części fakultatywnej może powodować, zależnie od okoliczności danego postępowania, konieczność wystąpienia przez organ regulacyjny o ich przekazanie na dalszym etapie sprawy.</w:t>
      </w:r>
    </w:p>
  </w:footnote>
  <w:footnote w:id="5">
    <w:p w:rsidR="00236856" w:rsidRPr="003E035D" w:rsidRDefault="00236856" w:rsidP="003E035D">
      <w:pPr>
        <w:pStyle w:val="Tekstprzypisudolnego"/>
        <w:jc w:val="both"/>
        <w:rPr>
          <w:rFonts w:ascii="Times New Roman" w:hAnsi="Times New Roman" w:cs="Times New Roman"/>
        </w:rPr>
      </w:pPr>
      <w:r w:rsidRPr="003E035D">
        <w:rPr>
          <w:rStyle w:val="Odwoanieprzypisudolnego"/>
          <w:rFonts w:ascii="Times New Roman" w:hAnsi="Times New Roman" w:cs="Times New Roman"/>
        </w:rPr>
        <w:footnoteRef/>
      </w:r>
      <w:r w:rsidRPr="003E035D">
        <w:rPr>
          <w:rFonts w:ascii="Times New Roman" w:hAnsi="Times New Roman" w:cs="Times New Roman"/>
        </w:rPr>
        <w:t xml:space="preserve"> Np. wyliczenia wykazujące o ile obniżą się przychody z przewozów realizowanych na podstawie umowy</w:t>
      </w:r>
      <w:r w:rsidRPr="003E035D">
        <w:rPr>
          <w:rFonts w:ascii="Times New Roman" w:hAnsi="Times New Roman" w:cs="Times New Roman"/>
        </w:rPr>
        <w:br/>
        <w:t>o świadczenie usług publicznych na skutek uruchomienia proponowanej usługi.</w:t>
      </w:r>
    </w:p>
  </w:footnote>
  <w:footnote w:id="6">
    <w:p w:rsidR="00236856" w:rsidRPr="003E035D" w:rsidRDefault="00236856" w:rsidP="003E035D">
      <w:pPr>
        <w:pStyle w:val="Tekstprzypisudolnego"/>
        <w:jc w:val="both"/>
        <w:rPr>
          <w:rFonts w:ascii="Times New Roman" w:hAnsi="Times New Roman" w:cs="Times New Roman"/>
        </w:rPr>
      </w:pPr>
      <w:r w:rsidRPr="003E035D">
        <w:rPr>
          <w:rStyle w:val="Odwoanieprzypisudolnego"/>
          <w:rFonts w:ascii="Times New Roman" w:hAnsi="Times New Roman" w:cs="Times New Roman"/>
        </w:rPr>
        <w:footnoteRef/>
      </w:r>
      <w:r w:rsidRPr="003E035D">
        <w:rPr>
          <w:rFonts w:ascii="Times New Roman" w:hAnsi="Times New Roman" w:cs="Times New Roman"/>
        </w:rPr>
        <w:t xml:space="preserve"> Wskazanie jakiego rodzaju składniki stałe lub zmienne podmiot wziął pod uwagę przeprowadzając stosowne wyliczenia.</w:t>
      </w:r>
    </w:p>
  </w:footnote>
  <w:footnote w:id="7">
    <w:p w:rsidR="009875A4" w:rsidRPr="009875A4" w:rsidRDefault="009875A4" w:rsidP="009875A4">
      <w:pPr>
        <w:pStyle w:val="Tekstprzypisudolnego"/>
        <w:jc w:val="both"/>
        <w:rPr>
          <w:rFonts w:ascii="Times New Roman" w:hAnsi="Times New Roman" w:cs="Times New Roman"/>
        </w:rPr>
      </w:pPr>
      <w:r w:rsidRPr="009875A4">
        <w:rPr>
          <w:rStyle w:val="Odwoanieprzypisudolnego"/>
          <w:rFonts w:ascii="Times New Roman" w:hAnsi="Times New Roman" w:cs="Times New Roman"/>
        </w:rPr>
        <w:footnoteRef/>
      </w:r>
      <w:r w:rsidRPr="009875A4">
        <w:rPr>
          <w:rFonts w:ascii="Times New Roman" w:hAnsi="Times New Roman" w:cs="Times New Roman"/>
        </w:rPr>
        <w:t xml:space="preserve"> Zgodnie z art. 9 ust. 1 rozporządzenia 2018/1795: </w:t>
      </w:r>
      <w:r w:rsidRPr="009875A4">
        <w:rPr>
          <w:rFonts w:ascii="Times New Roman" w:hAnsi="Times New Roman" w:cs="Times New Roman"/>
          <w:i/>
        </w:rPr>
        <w:t>W terminie jednego miesiąca od otrzymania wniosku organ regulacyjny może zażądać od podmiotu występującego z wnioskiem o przeprowadzenie badania równowagi ekonomicznej dostarczenia wszelkich dodatkowych informacji, które uzna za niezbędne zgodnie z art. 7 ust.</w:t>
      </w:r>
      <w:r w:rsidR="00485D31">
        <w:rPr>
          <w:rFonts w:ascii="Times New Roman" w:hAnsi="Times New Roman" w:cs="Times New Roman"/>
          <w:i/>
        </w:rPr>
        <w:t> </w:t>
      </w:r>
      <w:r w:rsidRPr="009875A4">
        <w:rPr>
          <w:rFonts w:ascii="Times New Roman" w:hAnsi="Times New Roman" w:cs="Times New Roman"/>
          <w:i/>
        </w:rPr>
        <w:t>2. Podmiot występujący z wnioskiem przedstawia takie informacje w rozsądnym terminie wyznaczonym przez organ regulacyjny. Jeżeli organ regulacyjny uzna, że otrzymane dodatkowe informacje nie są wystarczające, może zażądać dalszych informacji.</w:t>
      </w:r>
    </w:p>
  </w:footnote>
  <w:footnote w:id="8">
    <w:p w:rsidR="00A1044D" w:rsidRDefault="00A1044D" w:rsidP="00BA3CF7">
      <w:pPr>
        <w:pStyle w:val="Tekstprzypisudolnego"/>
        <w:jc w:val="both"/>
      </w:pPr>
      <w:r w:rsidRPr="003E035D">
        <w:rPr>
          <w:rStyle w:val="Odwoanieprzypisudolnego"/>
          <w:rFonts w:ascii="Times New Roman" w:hAnsi="Times New Roman" w:cs="Times New Roman"/>
        </w:rPr>
        <w:footnoteRef/>
      </w:r>
      <w:r w:rsidRPr="003E035D">
        <w:rPr>
          <w:rFonts w:ascii="Times New Roman" w:hAnsi="Times New Roman" w:cs="Times New Roman"/>
        </w:rPr>
        <w:t xml:space="preserve"> Uzasadnienie proponowanego zachowania poufności szczególnie chronionych informacji handlowych powinno zostać przekazane Prezesowi UTK w momencie złożenia wniosku o przeprowadzenie badania równowagi ekonomicznej. Informacje takie mogą obejmować w szczególności informacje techniczne</w:t>
      </w:r>
      <w:r w:rsidRPr="003E035D">
        <w:rPr>
          <w:rFonts w:ascii="Times New Roman" w:hAnsi="Times New Roman" w:cs="Times New Roman"/>
        </w:rPr>
        <w:br/>
        <w:t>lub finansowe dotyczące know-how przedsiębiorstwa, biznesplanu, struktury kos</w:t>
      </w:r>
      <w:r>
        <w:rPr>
          <w:rFonts w:ascii="Times New Roman" w:hAnsi="Times New Roman" w:cs="Times New Roman"/>
        </w:rPr>
        <w:t>ztów, strategii marketingowej i </w:t>
      </w:r>
      <w:r w:rsidRPr="003E035D">
        <w:rPr>
          <w:rFonts w:ascii="Times New Roman" w:hAnsi="Times New Roman" w:cs="Times New Roman"/>
        </w:rPr>
        <w:t>cenowej, źródeł dostaw i udziału w rynku.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E402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3E035D" w:rsidP="00E4020D">
    <w:pPr>
      <w:pStyle w:val="Nagwek"/>
      <w:jc w:val="center"/>
      <w:rPr>
        <w:rFonts w:ascii="Times New Roman" w:hAnsi="Times New Roman" w:cs="Times New Roman"/>
        <w:sz w:val="20"/>
        <w:szCs w:val="20"/>
      </w:rPr>
    </w:pPr>
    <w:r w:rsidRPr="008E168A">
      <w:rPr>
        <w:rFonts w:ascii="Times New Roman" w:hAnsi="Times New Roman" w:cs="Times New Roman"/>
        <w:sz w:val="20"/>
        <w:szCs w:val="20"/>
      </w:rPr>
      <w:t>ZGODNIE Z WYMOGAMI ROZPORZĄDZENIA WYKONAWCZEGO KOMISJI (UE) 2018/1795</w:t>
    </w:r>
    <w:r w:rsidR="00C264CB">
      <w:rPr>
        <w:rFonts w:ascii="Times New Roman" w:hAnsi="Times New Roman" w:cs="Times New Roman"/>
        <w:sz w:val="20"/>
        <w:szCs w:val="20"/>
      </w:rPr>
      <w:br/>
      <w:t>(</w:t>
    </w:r>
    <w:r w:rsidR="00711620">
      <w:rPr>
        <w:rFonts w:ascii="Times New Roman" w:hAnsi="Times New Roman" w:cs="Times New Roman"/>
        <w:sz w:val="20"/>
        <w:szCs w:val="20"/>
      </w:rPr>
      <w:t>data aktualizacji:</w:t>
    </w:r>
    <w:r w:rsidR="00C264CB">
      <w:rPr>
        <w:rFonts w:ascii="Times New Roman" w:hAnsi="Times New Roman" w:cs="Times New Roman"/>
        <w:sz w:val="20"/>
        <w:szCs w:val="20"/>
      </w:rPr>
      <w:t xml:space="preserve"> </w:t>
    </w:r>
    <w:r w:rsidR="00E4020D">
      <w:rPr>
        <w:rFonts w:ascii="Times New Roman" w:hAnsi="Times New Roman" w:cs="Times New Roman"/>
        <w:sz w:val="20"/>
        <w:szCs w:val="20"/>
      </w:rPr>
      <w:t>02.08.2022)</w:t>
    </w:r>
  </w:p>
  <w:p w:rsidR="007D76DA" w:rsidRPr="003E035D" w:rsidRDefault="007D76DA" w:rsidP="003E035D">
    <w:pPr>
      <w:spacing w:after="120" w:line="240" w:lineRule="auto"/>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0D" w:rsidRDefault="00E402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24EA"/>
    <w:multiLevelType w:val="hybridMultilevel"/>
    <w:tmpl w:val="E16CA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260CDD"/>
    <w:multiLevelType w:val="hybridMultilevel"/>
    <w:tmpl w:val="946EC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493D53"/>
    <w:multiLevelType w:val="hybridMultilevel"/>
    <w:tmpl w:val="5FC43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3957C3"/>
    <w:multiLevelType w:val="hybridMultilevel"/>
    <w:tmpl w:val="F20C7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DA"/>
    <w:rsid w:val="00011B4A"/>
    <w:rsid w:val="00020101"/>
    <w:rsid w:val="00022ABD"/>
    <w:rsid w:val="00033D29"/>
    <w:rsid w:val="00045543"/>
    <w:rsid w:val="00056019"/>
    <w:rsid w:val="00060E64"/>
    <w:rsid w:val="0007672A"/>
    <w:rsid w:val="00094CE1"/>
    <w:rsid w:val="000D57CA"/>
    <w:rsid w:val="000F4103"/>
    <w:rsid w:val="00111399"/>
    <w:rsid w:val="00115D60"/>
    <w:rsid w:val="001310ED"/>
    <w:rsid w:val="00131DD9"/>
    <w:rsid w:val="001636FE"/>
    <w:rsid w:val="001725AB"/>
    <w:rsid w:val="00176137"/>
    <w:rsid w:val="00184FF1"/>
    <w:rsid w:val="001A08E9"/>
    <w:rsid w:val="001A2306"/>
    <w:rsid w:val="00233705"/>
    <w:rsid w:val="00236856"/>
    <w:rsid w:val="00281323"/>
    <w:rsid w:val="00283AA5"/>
    <w:rsid w:val="002868AB"/>
    <w:rsid w:val="002B66D8"/>
    <w:rsid w:val="002C7A1D"/>
    <w:rsid w:val="002D246A"/>
    <w:rsid w:val="0034111E"/>
    <w:rsid w:val="00357370"/>
    <w:rsid w:val="00361E0A"/>
    <w:rsid w:val="00374A81"/>
    <w:rsid w:val="0038790E"/>
    <w:rsid w:val="00390FE7"/>
    <w:rsid w:val="003A4ECD"/>
    <w:rsid w:val="003B2A3E"/>
    <w:rsid w:val="003C1566"/>
    <w:rsid w:val="003E035D"/>
    <w:rsid w:val="003F1E80"/>
    <w:rsid w:val="003F3269"/>
    <w:rsid w:val="00416880"/>
    <w:rsid w:val="004665A5"/>
    <w:rsid w:val="00474838"/>
    <w:rsid w:val="00476F9A"/>
    <w:rsid w:val="00477F31"/>
    <w:rsid w:val="00485D31"/>
    <w:rsid w:val="00496F40"/>
    <w:rsid w:val="004A48E9"/>
    <w:rsid w:val="004C2057"/>
    <w:rsid w:val="005214B6"/>
    <w:rsid w:val="00532415"/>
    <w:rsid w:val="00533CDD"/>
    <w:rsid w:val="00541545"/>
    <w:rsid w:val="00544CBA"/>
    <w:rsid w:val="005A458C"/>
    <w:rsid w:val="005D71E9"/>
    <w:rsid w:val="005D798A"/>
    <w:rsid w:val="005F3B33"/>
    <w:rsid w:val="00602B51"/>
    <w:rsid w:val="00640F93"/>
    <w:rsid w:val="00652E1A"/>
    <w:rsid w:val="00653DD8"/>
    <w:rsid w:val="00667DA0"/>
    <w:rsid w:val="006935E5"/>
    <w:rsid w:val="006C0911"/>
    <w:rsid w:val="006E6470"/>
    <w:rsid w:val="006F58C7"/>
    <w:rsid w:val="007038C5"/>
    <w:rsid w:val="00703CD6"/>
    <w:rsid w:val="00711620"/>
    <w:rsid w:val="00735213"/>
    <w:rsid w:val="00766120"/>
    <w:rsid w:val="00780CDB"/>
    <w:rsid w:val="007B78A9"/>
    <w:rsid w:val="007C08F5"/>
    <w:rsid w:val="007D76DA"/>
    <w:rsid w:val="008004C0"/>
    <w:rsid w:val="00802DF8"/>
    <w:rsid w:val="00827333"/>
    <w:rsid w:val="00835ED4"/>
    <w:rsid w:val="00845389"/>
    <w:rsid w:val="00845B76"/>
    <w:rsid w:val="00891768"/>
    <w:rsid w:val="008A660A"/>
    <w:rsid w:val="0092378A"/>
    <w:rsid w:val="00951AF6"/>
    <w:rsid w:val="0095325E"/>
    <w:rsid w:val="00976086"/>
    <w:rsid w:val="009875A4"/>
    <w:rsid w:val="009A20B2"/>
    <w:rsid w:val="009B32F5"/>
    <w:rsid w:val="009C1BC8"/>
    <w:rsid w:val="009D1986"/>
    <w:rsid w:val="009D6F99"/>
    <w:rsid w:val="00A06611"/>
    <w:rsid w:val="00A1044D"/>
    <w:rsid w:val="00A1275B"/>
    <w:rsid w:val="00A15825"/>
    <w:rsid w:val="00A3651F"/>
    <w:rsid w:val="00A5580B"/>
    <w:rsid w:val="00A572D8"/>
    <w:rsid w:val="00A941D2"/>
    <w:rsid w:val="00AE4562"/>
    <w:rsid w:val="00AE55F6"/>
    <w:rsid w:val="00AF4756"/>
    <w:rsid w:val="00B23CEF"/>
    <w:rsid w:val="00B4622E"/>
    <w:rsid w:val="00B533A2"/>
    <w:rsid w:val="00B62196"/>
    <w:rsid w:val="00B65707"/>
    <w:rsid w:val="00B875BF"/>
    <w:rsid w:val="00BC2B1F"/>
    <w:rsid w:val="00C01630"/>
    <w:rsid w:val="00C0219D"/>
    <w:rsid w:val="00C1396F"/>
    <w:rsid w:val="00C264CB"/>
    <w:rsid w:val="00C45777"/>
    <w:rsid w:val="00C50788"/>
    <w:rsid w:val="00C57B90"/>
    <w:rsid w:val="00C6318F"/>
    <w:rsid w:val="00C64DAA"/>
    <w:rsid w:val="00CC7D65"/>
    <w:rsid w:val="00CE732F"/>
    <w:rsid w:val="00CF0156"/>
    <w:rsid w:val="00CF67FD"/>
    <w:rsid w:val="00D0087C"/>
    <w:rsid w:val="00D16446"/>
    <w:rsid w:val="00D93065"/>
    <w:rsid w:val="00DA60BA"/>
    <w:rsid w:val="00DB3CEC"/>
    <w:rsid w:val="00DC43AF"/>
    <w:rsid w:val="00DD38B0"/>
    <w:rsid w:val="00DE5D87"/>
    <w:rsid w:val="00E33844"/>
    <w:rsid w:val="00E34757"/>
    <w:rsid w:val="00E4020D"/>
    <w:rsid w:val="00E54A2D"/>
    <w:rsid w:val="00E7303D"/>
    <w:rsid w:val="00E757FE"/>
    <w:rsid w:val="00E91C0B"/>
    <w:rsid w:val="00E962FC"/>
    <w:rsid w:val="00EC4C3F"/>
    <w:rsid w:val="00EE4826"/>
    <w:rsid w:val="00F14BBB"/>
    <w:rsid w:val="00F30C45"/>
    <w:rsid w:val="00F43C1D"/>
    <w:rsid w:val="00F46D3B"/>
    <w:rsid w:val="00F5183B"/>
    <w:rsid w:val="00F60256"/>
    <w:rsid w:val="00FA0234"/>
    <w:rsid w:val="00FB0803"/>
    <w:rsid w:val="00FB5070"/>
    <w:rsid w:val="00FC63D9"/>
    <w:rsid w:val="00FE3AA9"/>
    <w:rsid w:val="00FE419F"/>
    <w:rsid w:val="00FF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76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DA"/>
  </w:style>
  <w:style w:type="paragraph" w:styleId="Stopka">
    <w:name w:val="footer"/>
    <w:basedOn w:val="Normalny"/>
    <w:link w:val="StopkaZnak"/>
    <w:uiPriority w:val="99"/>
    <w:unhideWhenUsed/>
    <w:rsid w:val="007D7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DA"/>
  </w:style>
  <w:style w:type="paragraph" w:styleId="Tekstdymka">
    <w:name w:val="Balloon Text"/>
    <w:basedOn w:val="Normalny"/>
    <w:link w:val="TekstdymkaZnak"/>
    <w:uiPriority w:val="99"/>
    <w:semiHidden/>
    <w:unhideWhenUsed/>
    <w:rsid w:val="007D76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6DA"/>
    <w:rPr>
      <w:rFonts w:ascii="Tahoma" w:hAnsi="Tahoma" w:cs="Tahoma"/>
      <w:sz w:val="16"/>
      <w:szCs w:val="16"/>
    </w:rPr>
  </w:style>
  <w:style w:type="table" w:styleId="Tabela-Siatka">
    <w:name w:val="Table Grid"/>
    <w:basedOn w:val="Standardowy"/>
    <w:uiPriority w:val="59"/>
    <w:rsid w:val="00B4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19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1986"/>
    <w:rPr>
      <w:sz w:val="20"/>
      <w:szCs w:val="20"/>
    </w:rPr>
  </w:style>
  <w:style w:type="character" w:styleId="Odwoanieprzypisukocowego">
    <w:name w:val="endnote reference"/>
    <w:basedOn w:val="Domylnaczcionkaakapitu"/>
    <w:uiPriority w:val="99"/>
    <w:semiHidden/>
    <w:unhideWhenUsed/>
    <w:rsid w:val="009D1986"/>
    <w:rPr>
      <w:vertAlign w:val="superscript"/>
    </w:rPr>
  </w:style>
  <w:style w:type="paragraph" w:styleId="Tekstprzypisudolnego">
    <w:name w:val="footnote text"/>
    <w:basedOn w:val="Normalny"/>
    <w:link w:val="TekstprzypisudolnegoZnak"/>
    <w:uiPriority w:val="99"/>
    <w:semiHidden/>
    <w:unhideWhenUsed/>
    <w:rsid w:val="00A127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75B"/>
    <w:rPr>
      <w:sz w:val="20"/>
      <w:szCs w:val="20"/>
    </w:rPr>
  </w:style>
  <w:style w:type="character" w:styleId="Odwoanieprzypisudolnego">
    <w:name w:val="footnote reference"/>
    <w:basedOn w:val="Domylnaczcionkaakapitu"/>
    <w:uiPriority w:val="99"/>
    <w:semiHidden/>
    <w:unhideWhenUsed/>
    <w:rsid w:val="00A1275B"/>
    <w:rPr>
      <w:vertAlign w:val="superscript"/>
    </w:rPr>
  </w:style>
  <w:style w:type="paragraph" w:styleId="Akapitzlist">
    <w:name w:val="List Paragraph"/>
    <w:basedOn w:val="Normalny"/>
    <w:uiPriority w:val="34"/>
    <w:qFormat/>
    <w:rsid w:val="00A1275B"/>
    <w:pPr>
      <w:ind w:left="720"/>
      <w:contextualSpacing/>
    </w:pPr>
  </w:style>
  <w:style w:type="character" w:styleId="Odwoaniedokomentarza">
    <w:name w:val="annotation reference"/>
    <w:basedOn w:val="Domylnaczcionkaakapitu"/>
    <w:uiPriority w:val="99"/>
    <w:semiHidden/>
    <w:unhideWhenUsed/>
    <w:rsid w:val="00A1275B"/>
    <w:rPr>
      <w:sz w:val="16"/>
      <w:szCs w:val="16"/>
    </w:rPr>
  </w:style>
  <w:style w:type="paragraph" w:styleId="Tekstkomentarza">
    <w:name w:val="annotation text"/>
    <w:basedOn w:val="Normalny"/>
    <w:link w:val="TekstkomentarzaZnak"/>
    <w:uiPriority w:val="99"/>
    <w:semiHidden/>
    <w:unhideWhenUsed/>
    <w:rsid w:val="00A127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275B"/>
    <w:rPr>
      <w:sz w:val="20"/>
      <w:szCs w:val="20"/>
    </w:rPr>
  </w:style>
  <w:style w:type="paragraph" w:styleId="Tematkomentarza">
    <w:name w:val="annotation subject"/>
    <w:basedOn w:val="Tekstkomentarza"/>
    <w:next w:val="Tekstkomentarza"/>
    <w:link w:val="TematkomentarzaZnak"/>
    <w:uiPriority w:val="99"/>
    <w:semiHidden/>
    <w:unhideWhenUsed/>
    <w:rsid w:val="00A1275B"/>
    <w:rPr>
      <w:b/>
      <w:bCs/>
    </w:rPr>
  </w:style>
  <w:style w:type="character" w:customStyle="1" w:styleId="TematkomentarzaZnak">
    <w:name w:val="Temat komentarza Znak"/>
    <w:basedOn w:val="TekstkomentarzaZnak"/>
    <w:link w:val="Tematkomentarza"/>
    <w:uiPriority w:val="99"/>
    <w:semiHidden/>
    <w:rsid w:val="00A12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844">
      <w:bodyDiv w:val="1"/>
      <w:marLeft w:val="0"/>
      <w:marRight w:val="0"/>
      <w:marTop w:val="0"/>
      <w:marBottom w:val="0"/>
      <w:divBdr>
        <w:top w:val="none" w:sz="0" w:space="0" w:color="auto"/>
        <w:left w:val="none" w:sz="0" w:space="0" w:color="auto"/>
        <w:bottom w:val="none" w:sz="0" w:space="0" w:color="auto"/>
        <w:right w:val="none" w:sz="0" w:space="0" w:color="auto"/>
      </w:divBdr>
    </w:div>
    <w:div w:id="182328629">
      <w:bodyDiv w:val="1"/>
      <w:marLeft w:val="0"/>
      <w:marRight w:val="0"/>
      <w:marTop w:val="0"/>
      <w:marBottom w:val="0"/>
      <w:divBdr>
        <w:top w:val="none" w:sz="0" w:space="0" w:color="auto"/>
        <w:left w:val="none" w:sz="0" w:space="0" w:color="auto"/>
        <w:bottom w:val="none" w:sz="0" w:space="0" w:color="auto"/>
        <w:right w:val="none" w:sz="0" w:space="0" w:color="auto"/>
      </w:divBdr>
    </w:div>
    <w:div w:id="1236551655">
      <w:bodyDiv w:val="1"/>
      <w:marLeft w:val="0"/>
      <w:marRight w:val="0"/>
      <w:marTop w:val="0"/>
      <w:marBottom w:val="0"/>
      <w:divBdr>
        <w:top w:val="none" w:sz="0" w:space="0" w:color="auto"/>
        <w:left w:val="none" w:sz="0" w:space="0" w:color="auto"/>
        <w:bottom w:val="none" w:sz="0" w:space="0" w:color="auto"/>
        <w:right w:val="none" w:sz="0" w:space="0" w:color="auto"/>
      </w:divBdr>
    </w:div>
    <w:div w:id="1769230699">
      <w:bodyDiv w:val="1"/>
      <w:marLeft w:val="0"/>
      <w:marRight w:val="0"/>
      <w:marTop w:val="0"/>
      <w:marBottom w:val="0"/>
      <w:divBdr>
        <w:top w:val="none" w:sz="0" w:space="0" w:color="auto"/>
        <w:left w:val="none" w:sz="0" w:space="0" w:color="auto"/>
        <w:bottom w:val="none" w:sz="0" w:space="0" w:color="auto"/>
        <w:right w:val="none" w:sz="0" w:space="0" w:color="auto"/>
      </w:divBdr>
    </w:div>
    <w:div w:id="19711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BAA3-B19F-41B3-9D5A-F2A6A46A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2022-06-08T08:16:00Z</dcterms:created>
  <dcterms:modified xsi:type="dcterms:W3CDTF">2022-08-02T10:00:00Z</dcterms:modified>
</cp:coreProperties>
</file>